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D2A2" w14:textId="77777777" w:rsidR="00AA4CE4" w:rsidRPr="00871017" w:rsidRDefault="00AA4CE4">
      <w:pPr>
        <w:rPr>
          <w:rFonts w:ascii="Comic Sans MS" w:hAnsi="Comic Sans MS"/>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370"/>
      </w:tblGrid>
      <w:tr w:rsidR="00A14EB3" w:rsidRPr="00871017" w14:paraId="7F1EF310" w14:textId="77777777" w:rsidTr="001039DF">
        <w:tc>
          <w:tcPr>
            <w:tcW w:w="10530" w:type="dxa"/>
            <w:gridSpan w:val="2"/>
            <w:shd w:val="clear" w:color="auto" w:fill="FF0000"/>
          </w:tcPr>
          <w:p w14:paraId="00D146A7" w14:textId="77777777" w:rsidR="00AA4CE4" w:rsidRPr="00FF4E5A" w:rsidRDefault="00BC39A4" w:rsidP="0082248D">
            <w:pPr>
              <w:jc w:val="center"/>
              <w:rPr>
                <w:rFonts w:ascii="Comic Sans MS" w:hAnsi="Comic Sans MS"/>
                <w:b/>
                <w:sz w:val="22"/>
                <w:szCs w:val="22"/>
              </w:rPr>
            </w:pPr>
            <w:r>
              <w:rPr>
                <w:rFonts w:ascii="Comic Sans MS" w:hAnsi="Comic Sans MS"/>
                <w:b/>
                <w:sz w:val="22"/>
                <w:szCs w:val="22"/>
              </w:rPr>
              <w:t>Grade 2</w:t>
            </w:r>
          </w:p>
          <w:p w14:paraId="7790382D"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72C80970" w14:textId="04350DAA" w:rsidR="00A14EB3" w:rsidRPr="00871017" w:rsidRDefault="0089439F" w:rsidP="00CD4C81">
            <w:pPr>
              <w:jc w:val="center"/>
              <w:rPr>
                <w:rFonts w:ascii="Comic Sans MS" w:hAnsi="Comic Sans MS"/>
                <w:i/>
                <w:sz w:val="18"/>
                <w:szCs w:val="18"/>
              </w:rPr>
            </w:pPr>
            <w:r>
              <w:rPr>
                <w:rFonts w:ascii="Comic Sans MS" w:hAnsi="Comic Sans MS"/>
                <w:b/>
                <w:i/>
                <w:sz w:val="22"/>
                <w:szCs w:val="22"/>
              </w:rPr>
              <w:t xml:space="preserve">Bigger Books Mean </w:t>
            </w:r>
            <w:proofErr w:type="spellStart"/>
            <w:r>
              <w:rPr>
                <w:rFonts w:ascii="Comic Sans MS" w:hAnsi="Comic Sans MS"/>
                <w:b/>
                <w:i/>
                <w:sz w:val="22"/>
                <w:szCs w:val="22"/>
              </w:rPr>
              <w:t>Amping</w:t>
            </w:r>
            <w:proofErr w:type="spellEnd"/>
            <w:r>
              <w:rPr>
                <w:rFonts w:ascii="Comic Sans MS" w:hAnsi="Comic Sans MS"/>
                <w:b/>
                <w:i/>
                <w:sz w:val="22"/>
                <w:szCs w:val="22"/>
              </w:rPr>
              <w:t xml:space="preserve"> Up Reading Power</w:t>
            </w:r>
          </w:p>
        </w:tc>
      </w:tr>
      <w:tr w:rsidR="00A14EB3" w:rsidRPr="00871017" w14:paraId="4DE28450" w14:textId="77777777" w:rsidTr="00552B9E">
        <w:tc>
          <w:tcPr>
            <w:tcW w:w="2160" w:type="dxa"/>
            <w:shd w:val="clear" w:color="auto" w:fill="auto"/>
          </w:tcPr>
          <w:p w14:paraId="615FA3D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8370" w:type="dxa"/>
            <w:shd w:val="clear" w:color="auto" w:fill="auto"/>
          </w:tcPr>
          <w:p w14:paraId="3545EB2B" w14:textId="77777777" w:rsidR="00AB576C" w:rsidRDefault="00536B88" w:rsidP="000400A5">
            <w:pPr>
              <w:numPr>
                <w:ilvl w:val="0"/>
                <w:numId w:val="12"/>
              </w:numPr>
              <w:contextualSpacing/>
              <w:rPr>
                <w:rFonts w:ascii="Comic Sans MS" w:hAnsi="Comic Sans MS"/>
                <w:sz w:val="18"/>
                <w:szCs w:val="18"/>
              </w:rPr>
            </w:pPr>
            <w:r>
              <w:rPr>
                <w:rFonts w:ascii="Comic Sans MS" w:hAnsi="Comic Sans MS"/>
                <w:sz w:val="18"/>
                <w:szCs w:val="18"/>
              </w:rPr>
              <w:t>Reading aloud to support “in-the-head” reading voices</w:t>
            </w:r>
          </w:p>
          <w:p w14:paraId="14205421"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Scooping up words into phrases and noticing punctuation so that reading makes sense and sounds right</w:t>
            </w:r>
          </w:p>
          <w:p w14:paraId="498E78C3"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Noticing dialogue tags to support reading with expression</w:t>
            </w:r>
          </w:p>
          <w:p w14:paraId="48B17CA0"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Reading at a pace that is just right to understand the reading</w:t>
            </w:r>
          </w:p>
          <w:p w14:paraId="083AF9FA"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Recognizing literary language and asking, “What might the author want me to see, to understand?”</w:t>
            </w:r>
          </w:p>
          <w:p w14:paraId="0B546721"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Understanding comparisons in texts</w:t>
            </w:r>
          </w:p>
          <w:p w14:paraId="54875451"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Noticing when authors play with words</w:t>
            </w:r>
          </w:p>
          <w:p w14:paraId="0448ED59"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Reading as a writer – focusing on special language to understand the author’s message</w:t>
            </w:r>
          </w:p>
          <w:p w14:paraId="656D35CF"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Reading with a partner to talk, clarify, and ask questions to better understand the reading</w:t>
            </w:r>
          </w:p>
          <w:p w14:paraId="7CDA3840"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Keeping track of the story and remembering the important things that happen</w:t>
            </w:r>
          </w:p>
          <w:p w14:paraId="703855A1"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Using fix-up strategies when comprehension breaks down</w:t>
            </w:r>
          </w:p>
          <w:p w14:paraId="6C68E06D"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Using writing to tackle confusing parts in the reading</w:t>
            </w:r>
          </w:p>
          <w:p w14:paraId="0EE0BE2D"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Setting goals independently and in a reading club</w:t>
            </w:r>
          </w:p>
          <w:p w14:paraId="65E594CC" w14:textId="77777777" w:rsidR="00536B88" w:rsidRDefault="00536B88" w:rsidP="000400A5">
            <w:pPr>
              <w:numPr>
                <w:ilvl w:val="0"/>
                <w:numId w:val="12"/>
              </w:numPr>
              <w:contextualSpacing/>
              <w:rPr>
                <w:rFonts w:ascii="Comic Sans MS" w:hAnsi="Comic Sans MS"/>
                <w:sz w:val="18"/>
                <w:szCs w:val="18"/>
              </w:rPr>
            </w:pPr>
            <w:r>
              <w:rPr>
                <w:rFonts w:ascii="Comic Sans MS" w:hAnsi="Comic Sans MS"/>
                <w:sz w:val="18"/>
                <w:szCs w:val="18"/>
              </w:rPr>
              <w:t>Working with other readers in a club to create a plan for accomplishing goals</w:t>
            </w:r>
          </w:p>
          <w:p w14:paraId="5266D411" w14:textId="7534577E" w:rsidR="00536B88" w:rsidRPr="00814DEB" w:rsidRDefault="00536B88" w:rsidP="000400A5">
            <w:pPr>
              <w:numPr>
                <w:ilvl w:val="0"/>
                <w:numId w:val="12"/>
              </w:numPr>
              <w:contextualSpacing/>
              <w:rPr>
                <w:rFonts w:ascii="Comic Sans MS" w:hAnsi="Comic Sans MS"/>
                <w:sz w:val="18"/>
                <w:szCs w:val="18"/>
              </w:rPr>
            </w:pPr>
            <w:r>
              <w:rPr>
                <w:rFonts w:ascii="Comic Sans MS" w:hAnsi="Comic Sans MS"/>
                <w:sz w:val="18"/>
                <w:szCs w:val="18"/>
              </w:rPr>
              <w:t>Supporting club members’ work by giving helpful feedback</w:t>
            </w:r>
          </w:p>
        </w:tc>
      </w:tr>
      <w:tr w:rsidR="00DE6A3B" w:rsidRPr="00871017" w14:paraId="46E99BA2" w14:textId="77777777" w:rsidTr="00552B9E">
        <w:tc>
          <w:tcPr>
            <w:tcW w:w="2160" w:type="dxa"/>
            <w:shd w:val="clear" w:color="auto" w:fill="auto"/>
          </w:tcPr>
          <w:p w14:paraId="05FADFBC" w14:textId="338A3A84"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8370" w:type="dxa"/>
            <w:shd w:val="clear" w:color="auto" w:fill="auto"/>
          </w:tcPr>
          <w:p w14:paraId="0465EDA4"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Literature (RL)</w:t>
            </w:r>
          </w:p>
          <w:p w14:paraId="555A64D9" w14:textId="025C72A0" w:rsidR="002E7FAA" w:rsidRPr="002E7FAA" w:rsidRDefault="00E1733A" w:rsidP="002E7FAA">
            <w:pPr>
              <w:numPr>
                <w:ilvl w:val="0"/>
                <w:numId w:val="2"/>
              </w:numPr>
              <w:rPr>
                <w:rFonts w:ascii="Comic Sans MS" w:hAnsi="Comic Sans MS"/>
                <w:i/>
                <w:sz w:val="18"/>
                <w:szCs w:val="18"/>
              </w:rPr>
            </w:pPr>
            <w:r>
              <w:rPr>
                <w:rFonts w:ascii="Comic Sans MS" w:hAnsi="Comic Sans MS"/>
                <w:i/>
                <w:sz w:val="18"/>
                <w:szCs w:val="18"/>
              </w:rPr>
              <w:t xml:space="preserve">1, 2, 3, 4, 5, 6, 7, </w:t>
            </w:r>
            <w:r w:rsidR="002E7FAA" w:rsidRPr="002E7FAA">
              <w:rPr>
                <w:rFonts w:ascii="Comic Sans MS" w:hAnsi="Comic Sans MS"/>
                <w:i/>
                <w:sz w:val="18"/>
                <w:szCs w:val="18"/>
              </w:rPr>
              <w:t>10</w:t>
            </w:r>
          </w:p>
          <w:p w14:paraId="07DBC27C"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Foundational Skills (RF)</w:t>
            </w:r>
          </w:p>
          <w:p w14:paraId="14C0C6DF" w14:textId="13EF6916" w:rsidR="002E7FAA" w:rsidRPr="002E7FAA" w:rsidRDefault="00E1733A" w:rsidP="002E7FAA">
            <w:pPr>
              <w:numPr>
                <w:ilvl w:val="0"/>
                <w:numId w:val="2"/>
              </w:numPr>
              <w:rPr>
                <w:rFonts w:ascii="Comic Sans MS" w:hAnsi="Comic Sans MS"/>
                <w:i/>
                <w:sz w:val="18"/>
                <w:szCs w:val="18"/>
              </w:rPr>
            </w:pPr>
            <w:r>
              <w:rPr>
                <w:rFonts w:ascii="Comic Sans MS" w:hAnsi="Comic Sans MS"/>
                <w:i/>
                <w:sz w:val="18"/>
                <w:szCs w:val="18"/>
              </w:rPr>
              <w:t>2, 3, 4</w:t>
            </w:r>
          </w:p>
          <w:p w14:paraId="429A18D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Speaking and Listening Standards (SL)</w:t>
            </w:r>
          </w:p>
          <w:p w14:paraId="2CB833BF" w14:textId="0558A5CD" w:rsidR="002E7FAA" w:rsidRPr="002E7FAA" w:rsidRDefault="00E1733A" w:rsidP="002E7FAA">
            <w:pPr>
              <w:numPr>
                <w:ilvl w:val="0"/>
                <w:numId w:val="2"/>
              </w:numPr>
              <w:rPr>
                <w:rFonts w:ascii="Comic Sans MS" w:hAnsi="Comic Sans MS"/>
                <w:i/>
                <w:sz w:val="18"/>
                <w:szCs w:val="18"/>
              </w:rPr>
            </w:pPr>
            <w:r>
              <w:rPr>
                <w:rFonts w:ascii="Comic Sans MS" w:hAnsi="Comic Sans MS"/>
                <w:i/>
                <w:sz w:val="18"/>
                <w:szCs w:val="18"/>
              </w:rPr>
              <w:t xml:space="preserve">1, 2, </w:t>
            </w:r>
            <w:r w:rsidR="002E7FAA" w:rsidRPr="002E7FAA">
              <w:rPr>
                <w:rFonts w:ascii="Comic Sans MS" w:hAnsi="Comic Sans MS"/>
                <w:i/>
                <w:sz w:val="18"/>
                <w:szCs w:val="18"/>
              </w:rPr>
              <w:t>4,</w:t>
            </w:r>
            <w:r>
              <w:rPr>
                <w:rFonts w:ascii="Comic Sans MS" w:hAnsi="Comic Sans MS"/>
                <w:i/>
                <w:sz w:val="18"/>
                <w:szCs w:val="18"/>
              </w:rPr>
              <w:t xml:space="preserve"> </w:t>
            </w:r>
            <w:r w:rsidR="002E7FAA" w:rsidRPr="002E7FAA">
              <w:rPr>
                <w:rFonts w:ascii="Comic Sans MS" w:hAnsi="Comic Sans MS"/>
                <w:i/>
                <w:sz w:val="18"/>
                <w:szCs w:val="18"/>
              </w:rPr>
              <w:t>6</w:t>
            </w:r>
          </w:p>
          <w:p w14:paraId="31A5E3FB"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Language Standards (L)</w:t>
            </w:r>
          </w:p>
          <w:p w14:paraId="4427D380" w14:textId="2AA2AF31" w:rsidR="00AA4CE4" w:rsidRPr="00871017" w:rsidRDefault="00CA1282" w:rsidP="002E7FAA">
            <w:pPr>
              <w:numPr>
                <w:ilvl w:val="0"/>
                <w:numId w:val="2"/>
              </w:numPr>
              <w:rPr>
                <w:rFonts w:ascii="Comic Sans MS" w:hAnsi="Comic Sans MS"/>
                <w:i/>
                <w:sz w:val="18"/>
                <w:szCs w:val="18"/>
              </w:rPr>
            </w:pPr>
            <w:r>
              <w:rPr>
                <w:rFonts w:ascii="Comic Sans MS" w:hAnsi="Comic Sans MS"/>
                <w:i/>
                <w:sz w:val="18"/>
                <w:szCs w:val="18"/>
              </w:rPr>
              <w:t>1</w:t>
            </w:r>
            <w:r w:rsidR="002E7FAA" w:rsidRPr="002E7FAA">
              <w:rPr>
                <w:rFonts w:ascii="Comic Sans MS" w:hAnsi="Comic Sans MS"/>
                <w:i/>
                <w:sz w:val="18"/>
                <w:szCs w:val="18"/>
              </w:rPr>
              <w:t>, 3, 4</w:t>
            </w:r>
            <w:r w:rsidR="00E1733A">
              <w:rPr>
                <w:rFonts w:ascii="Comic Sans MS" w:hAnsi="Comic Sans MS"/>
                <w:i/>
                <w:sz w:val="18"/>
                <w:szCs w:val="18"/>
              </w:rPr>
              <w:t>, 5</w:t>
            </w:r>
            <w:r w:rsidR="002E7FAA" w:rsidRPr="002E7FAA">
              <w:rPr>
                <w:rFonts w:ascii="Comic Sans MS" w:hAnsi="Comic Sans MS"/>
                <w:i/>
                <w:sz w:val="18"/>
                <w:szCs w:val="18"/>
              </w:rPr>
              <w:t>, 6</w:t>
            </w:r>
          </w:p>
        </w:tc>
      </w:tr>
      <w:tr w:rsidR="00A14EB3" w:rsidRPr="00871017" w14:paraId="038A7028" w14:textId="77777777" w:rsidTr="00552B9E">
        <w:tc>
          <w:tcPr>
            <w:tcW w:w="2160" w:type="dxa"/>
            <w:shd w:val="clear" w:color="auto" w:fill="auto"/>
          </w:tcPr>
          <w:p w14:paraId="0B04704B"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8370" w:type="dxa"/>
            <w:shd w:val="clear" w:color="auto" w:fill="auto"/>
          </w:tcPr>
          <w:p w14:paraId="501B83DD" w14:textId="77777777" w:rsidR="00814DEB" w:rsidRDefault="0089439F" w:rsidP="009B58E2">
            <w:pPr>
              <w:pStyle w:val="ListParagraph"/>
              <w:numPr>
                <w:ilvl w:val="0"/>
                <w:numId w:val="2"/>
              </w:numPr>
              <w:rPr>
                <w:rFonts w:ascii="Comic Sans MS" w:hAnsi="Comic Sans MS"/>
                <w:sz w:val="18"/>
                <w:szCs w:val="18"/>
              </w:rPr>
            </w:pPr>
            <w:r>
              <w:rPr>
                <w:rFonts w:ascii="Comic Sans MS" w:hAnsi="Comic Sans MS"/>
                <w:sz w:val="18"/>
                <w:szCs w:val="18"/>
              </w:rPr>
              <w:t>Reading with fluency</w:t>
            </w:r>
          </w:p>
          <w:p w14:paraId="3E47B9EC" w14:textId="735266AA" w:rsidR="0089439F" w:rsidRDefault="00130141" w:rsidP="009B58E2">
            <w:pPr>
              <w:pStyle w:val="ListParagraph"/>
              <w:numPr>
                <w:ilvl w:val="0"/>
                <w:numId w:val="2"/>
              </w:numPr>
              <w:rPr>
                <w:rFonts w:ascii="Comic Sans MS" w:hAnsi="Comic Sans MS"/>
                <w:sz w:val="18"/>
                <w:szCs w:val="18"/>
              </w:rPr>
            </w:pPr>
            <w:r>
              <w:rPr>
                <w:rFonts w:ascii="Comic Sans MS" w:hAnsi="Comic Sans MS"/>
                <w:sz w:val="18"/>
                <w:szCs w:val="18"/>
              </w:rPr>
              <w:t>Understanding literar</w:t>
            </w:r>
            <w:r w:rsidR="0089439F">
              <w:rPr>
                <w:rFonts w:ascii="Comic Sans MS" w:hAnsi="Comic Sans MS"/>
                <w:sz w:val="18"/>
                <w:szCs w:val="18"/>
              </w:rPr>
              <w:t>y language</w:t>
            </w:r>
          </w:p>
          <w:p w14:paraId="05FAE677" w14:textId="77777777" w:rsidR="0089439F" w:rsidRDefault="0089439F" w:rsidP="009B58E2">
            <w:pPr>
              <w:pStyle w:val="ListParagraph"/>
              <w:numPr>
                <w:ilvl w:val="0"/>
                <w:numId w:val="2"/>
              </w:numPr>
              <w:rPr>
                <w:rFonts w:ascii="Comic Sans MS" w:hAnsi="Comic Sans MS"/>
                <w:sz w:val="18"/>
                <w:szCs w:val="18"/>
              </w:rPr>
            </w:pPr>
            <w:r>
              <w:rPr>
                <w:rFonts w:ascii="Comic Sans MS" w:hAnsi="Comic Sans MS"/>
                <w:sz w:val="18"/>
                <w:szCs w:val="18"/>
              </w:rPr>
              <w:t>Meeting the challenges of longer books</w:t>
            </w:r>
          </w:p>
          <w:p w14:paraId="79CB33AD" w14:textId="045E9963" w:rsidR="0089439F" w:rsidRPr="00902CF5" w:rsidRDefault="0089439F" w:rsidP="009B58E2">
            <w:pPr>
              <w:pStyle w:val="ListParagraph"/>
              <w:numPr>
                <w:ilvl w:val="0"/>
                <w:numId w:val="2"/>
              </w:numPr>
              <w:rPr>
                <w:rFonts w:ascii="Comic Sans MS" w:hAnsi="Comic Sans MS"/>
                <w:sz w:val="18"/>
                <w:szCs w:val="18"/>
              </w:rPr>
            </w:pPr>
            <w:r>
              <w:rPr>
                <w:rFonts w:ascii="Comic Sans MS" w:hAnsi="Comic Sans MS"/>
                <w:sz w:val="18"/>
                <w:szCs w:val="18"/>
              </w:rPr>
              <w:t>Tackling goals in the company of others</w:t>
            </w:r>
          </w:p>
        </w:tc>
      </w:tr>
      <w:tr w:rsidR="001B72F6" w:rsidRPr="00871017" w14:paraId="23D49912" w14:textId="77777777" w:rsidTr="00552B9E">
        <w:tc>
          <w:tcPr>
            <w:tcW w:w="2160" w:type="dxa"/>
            <w:shd w:val="clear" w:color="auto" w:fill="auto"/>
          </w:tcPr>
          <w:p w14:paraId="70FD6F31" w14:textId="056810F1"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8370" w:type="dxa"/>
            <w:shd w:val="clear" w:color="auto" w:fill="auto"/>
          </w:tcPr>
          <w:p w14:paraId="459FA1A3" w14:textId="77777777" w:rsidR="000E20AF" w:rsidRPr="000E20AF" w:rsidRDefault="007E7359" w:rsidP="000E20AF">
            <w:pPr>
              <w:numPr>
                <w:ilvl w:val="0"/>
                <w:numId w:val="1"/>
              </w:numPr>
              <w:rPr>
                <w:rFonts w:ascii="Comic Sans MS" w:hAnsi="Comic Sans MS"/>
                <w:sz w:val="18"/>
                <w:szCs w:val="18"/>
              </w:rPr>
            </w:pPr>
            <w:r>
              <w:rPr>
                <w:rFonts w:ascii="Comic Sans MS" w:hAnsi="Comic Sans MS"/>
                <w:sz w:val="18"/>
                <w:szCs w:val="18"/>
              </w:rPr>
              <w:t>Study</w:t>
            </w:r>
          </w:p>
          <w:p w14:paraId="1808C75A" w14:textId="0AD1B61C" w:rsidR="00A72A1E" w:rsidRPr="00871017" w:rsidRDefault="0089439F" w:rsidP="000C45D0">
            <w:pPr>
              <w:rPr>
                <w:rFonts w:ascii="Comic Sans MS" w:hAnsi="Comic Sans MS"/>
                <w:sz w:val="18"/>
                <w:szCs w:val="18"/>
              </w:rPr>
            </w:pPr>
            <w:r>
              <w:rPr>
                <w:rFonts w:ascii="Comic Sans MS" w:hAnsi="Comic Sans MS"/>
                <w:sz w:val="18"/>
                <w:szCs w:val="18"/>
                <w:u w:val="single"/>
              </w:rPr>
              <w:t xml:space="preserve">Bigger Books Mean </w:t>
            </w:r>
            <w:proofErr w:type="spellStart"/>
            <w:r>
              <w:rPr>
                <w:rFonts w:ascii="Comic Sans MS" w:hAnsi="Comic Sans MS"/>
                <w:sz w:val="18"/>
                <w:szCs w:val="18"/>
                <w:u w:val="single"/>
              </w:rPr>
              <w:t>Amping</w:t>
            </w:r>
            <w:proofErr w:type="spellEnd"/>
            <w:r>
              <w:rPr>
                <w:rFonts w:ascii="Comic Sans MS" w:hAnsi="Comic Sans MS"/>
                <w:sz w:val="18"/>
                <w:szCs w:val="18"/>
                <w:u w:val="single"/>
              </w:rPr>
              <w:t xml:space="preserve"> Up Reading </w:t>
            </w:r>
            <w:r w:rsidRPr="0089439F">
              <w:rPr>
                <w:rFonts w:ascii="Comic Sans MS" w:hAnsi="Comic Sans MS"/>
                <w:sz w:val="18"/>
                <w:szCs w:val="18"/>
              </w:rPr>
              <w:t>Power</w:t>
            </w:r>
            <w:r>
              <w:rPr>
                <w:rFonts w:ascii="Comic Sans MS" w:hAnsi="Comic Sans MS"/>
                <w:sz w:val="18"/>
                <w:szCs w:val="18"/>
              </w:rPr>
              <w:t xml:space="preserve"> by Lucy Calkins, Lauren </w:t>
            </w:r>
            <w:proofErr w:type="spellStart"/>
            <w:r>
              <w:rPr>
                <w:rFonts w:ascii="Comic Sans MS" w:hAnsi="Comic Sans MS"/>
                <w:sz w:val="18"/>
                <w:szCs w:val="18"/>
              </w:rPr>
              <w:t>Kolbeck</w:t>
            </w:r>
            <w:proofErr w:type="spellEnd"/>
            <w:r>
              <w:rPr>
                <w:rFonts w:ascii="Comic Sans MS" w:hAnsi="Comic Sans MS"/>
                <w:sz w:val="18"/>
                <w:szCs w:val="18"/>
              </w:rPr>
              <w:t xml:space="preserve">, and Brianna </w:t>
            </w:r>
            <w:proofErr w:type="spellStart"/>
            <w:r>
              <w:rPr>
                <w:rFonts w:ascii="Comic Sans MS" w:hAnsi="Comic Sans MS"/>
                <w:sz w:val="18"/>
                <w:szCs w:val="18"/>
              </w:rPr>
              <w:t>Parlitsis</w:t>
            </w:r>
            <w:proofErr w:type="spellEnd"/>
            <w:r>
              <w:rPr>
                <w:rFonts w:ascii="Comic Sans MS" w:hAnsi="Comic Sans MS"/>
                <w:sz w:val="18"/>
                <w:szCs w:val="18"/>
              </w:rPr>
              <w:t xml:space="preserve"> in </w:t>
            </w:r>
            <w:r w:rsidR="007E7359" w:rsidRPr="0089439F">
              <w:rPr>
                <w:rFonts w:ascii="Comic Sans MS" w:hAnsi="Comic Sans MS"/>
                <w:i/>
                <w:sz w:val="18"/>
                <w:szCs w:val="18"/>
              </w:rPr>
              <w:t>Units</w:t>
            </w:r>
            <w:r w:rsidR="007E7359" w:rsidRPr="007E7359">
              <w:rPr>
                <w:rFonts w:ascii="Comic Sans MS" w:hAnsi="Comic Sans MS"/>
                <w:i/>
                <w:sz w:val="18"/>
                <w:szCs w:val="18"/>
              </w:rPr>
              <w:t xml:space="preserve"> of Study for Teaching Reading, Grade 2</w:t>
            </w:r>
            <w:r>
              <w:rPr>
                <w:rFonts w:ascii="Comic Sans MS" w:hAnsi="Comic Sans MS"/>
                <w:sz w:val="18"/>
                <w:szCs w:val="18"/>
              </w:rPr>
              <w:t xml:space="preserve"> (2015), along with the online resources accompanying this unit</w:t>
            </w:r>
            <w:r w:rsidR="007E7359">
              <w:rPr>
                <w:rFonts w:ascii="Comic Sans MS" w:hAnsi="Comic Sans MS"/>
                <w:sz w:val="18"/>
                <w:szCs w:val="18"/>
              </w:rPr>
              <w:t xml:space="preserve"> found at </w:t>
            </w:r>
            <w:hyperlink r:id="rId7" w:history="1">
              <w:r w:rsidR="007E7359" w:rsidRPr="007E7359">
                <w:rPr>
                  <w:rStyle w:val="Hyperlink"/>
                  <w:rFonts w:ascii="Comic Sans MS" w:hAnsi="Comic Sans MS"/>
                  <w:sz w:val="18"/>
                  <w:szCs w:val="18"/>
                </w:rPr>
                <w:t>heineman.com</w:t>
              </w:r>
            </w:hyperlink>
            <w:r w:rsidR="007E7359">
              <w:rPr>
                <w:rFonts w:ascii="Comic Sans MS" w:hAnsi="Comic Sans MS"/>
                <w:sz w:val="18"/>
                <w:szCs w:val="18"/>
              </w:rPr>
              <w:t xml:space="preserve">. </w:t>
            </w:r>
          </w:p>
        </w:tc>
      </w:tr>
      <w:tr w:rsidR="00DE6A3B" w:rsidRPr="00871017" w14:paraId="42C3045D" w14:textId="77777777" w:rsidTr="00552B9E">
        <w:tc>
          <w:tcPr>
            <w:tcW w:w="2160" w:type="dxa"/>
            <w:shd w:val="clear" w:color="auto" w:fill="auto"/>
          </w:tcPr>
          <w:p w14:paraId="2E01050E" w14:textId="77777777"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8370" w:type="dxa"/>
            <w:shd w:val="clear" w:color="auto" w:fill="auto"/>
          </w:tcPr>
          <w:p w14:paraId="197A64A5" w14:textId="3E184B70" w:rsidR="00245A72" w:rsidRDefault="000C45D0" w:rsidP="00664385">
            <w:pPr>
              <w:pStyle w:val="ListParagraph"/>
              <w:numPr>
                <w:ilvl w:val="0"/>
                <w:numId w:val="19"/>
              </w:numPr>
              <w:rPr>
                <w:rFonts w:ascii="Comic Sans MS" w:hAnsi="Comic Sans MS"/>
                <w:sz w:val="18"/>
                <w:szCs w:val="18"/>
              </w:rPr>
            </w:pPr>
            <w:r>
              <w:rPr>
                <w:rFonts w:ascii="Comic Sans MS" w:hAnsi="Comic Sans MS"/>
                <w:i/>
                <w:sz w:val="18"/>
                <w:szCs w:val="18"/>
              </w:rPr>
              <w:t>Owl Moon</w:t>
            </w:r>
            <w:r>
              <w:rPr>
                <w:rFonts w:ascii="Comic Sans MS" w:hAnsi="Comic Sans MS"/>
                <w:sz w:val="18"/>
                <w:szCs w:val="18"/>
              </w:rPr>
              <w:t xml:space="preserve"> by Jane Yolen and John </w:t>
            </w:r>
            <w:proofErr w:type="spellStart"/>
            <w:r>
              <w:rPr>
                <w:rFonts w:ascii="Comic Sans MS" w:hAnsi="Comic Sans MS"/>
                <w:sz w:val="18"/>
                <w:szCs w:val="18"/>
              </w:rPr>
              <w:t>Schoenherr</w:t>
            </w:r>
            <w:proofErr w:type="spellEnd"/>
          </w:p>
          <w:p w14:paraId="4512EA85" w14:textId="19E2EDC1" w:rsidR="000C45D0" w:rsidRDefault="000C45D0" w:rsidP="00664385">
            <w:pPr>
              <w:pStyle w:val="ListParagraph"/>
              <w:numPr>
                <w:ilvl w:val="0"/>
                <w:numId w:val="19"/>
              </w:numPr>
              <w:rPr>
                <w:rFonts w:ascii="Comic Sans MS" w:hAnsi="Comic Sans MS"/>
                <w:sz w:val="18"/>
                <w:szCs w:val="18"/>
              </w:rPr>
            </w:pPr>
            <w:proofErr w:type="spellStart"/>
            <w:r>
              <w:rPr>
                <w:rFonts w:ascii="Comic Sans MS" w:hAnsi="Comic Sans MS"/>
                <w:i/>
                <w:sz w:val="18"/>
                <w:szCs w:val="18"/>
              </w:rPr>
              <w:t>Houndsley</w:t>
            </w:r>
            <w:proofErr w:type="spellEnd"/>
            <w:r>
              <w:rPr>
                <w:rFonts w:ascii="Comic Sans MS" w:hAnsi="Comic Sans MS"/>
                <w:i/>
                <w:sz w:val="18"/>
                <w:szCs w:val="18"/>
              </w:rPr>
              <w:t xml:space="preserve"> and </w:t>
            </w:r>
            <w:proofErr w:type="spellStart"/>
            <w:r>
              <w:rPr>
                <w:rFonts w:ascii="Comic Sans MS" w:hAnsi="Comic Sans MS"/>
                <w:i/>
                <w:sz w:val="18"/>
                <w:szCs w:val="18"/>
              </w:rPr>
              <w:t>Katine</w:t>
            </w:r>
            <w:proofErr w:type="spellEnd"/>
            <w:r>
              <w:rPr>
                <w:rFonts w:ascii="Comic Sans MS" w:hAnsi="Comic Sans MS"/>
                <w:sz w:val="18"/>
                <w:szCs w:val="18"/>
              </w:rPr>
              <w:t xml:space="preserve"> by James Howe and Marie-Louise Gay</w:t>
            </w:r>
          </w:p>
          <w:p w14:paraId="1319266E" w14:textId="77777777" w:rsidR="000C45D0" w:rsidRDefault="000C45D0" w:rsidP="000C45D0">
            <w:pPr>
              <w:pStyle w:val="ListParagraph"/>
              <w:numPr>
                <w:ilvl w:val="0"/>
                <w:numId w:val="19"/>
              </w:numPr>
              <w:rPr>
                <w:rFonts w:ascii="Comic Sans MS" w:hAnsi="Comic Sans MS"/>
                <w:sz w:val="18"/>
                <w:szCs w:val="18"/>
              </w:rPr>
            </w:pPr>
            <w:r>
              <w:rPr>
                <w:rFonts w:ascii="Comic Sans MS" w:hAnsi="Comic Sans MS"/>
                <w:i/>
                <w:sz w:val="18"/>
                <w:szCs w:val="18"/>
              </w:rPr>
              <w:t>Minnie and Moo Go Dancing</w:t>
            </w:r>
            <w:r>
              <w:rPr>
                <w:rFonts w:ascii="Comic Sans MS" w:hAnsi="Comic Sans MS"/>
                <w:sz w:val="18"/>
                <w:szCs w:val="18"/>
              </w:rPr>
              <w:t xml:space="preserve"> by Denys Cadet</w:t>
            </w:r>
          </w:p>
          <w:p w14:paraId="782BC8CB" w14:textId="08996EAE" w:rsidR="000C45D0" w:rsidRPr="000C45D0" w:rsidRDefault="000C45D0" w:rsidP="000C45D0">
            <w:pPr>
              <w:pStyle w:val="ListParagraph"/>
              <w:numPr>
                <w:ilvl w:val="0"/>
                <w:numId w:val="19"/>
              </w:numPr>
              <w:rPr>
                <w:rFonts w:ascii="Comic Sans MS" w:hAnsi="Comic Sans MS"/>
                <w:sz w:val="18"/>
                <w:szCs w:val="18"/>
              </w:rPr>
            </w:pPr>
            <w:r>
              <w:rPr>
                <w:rFonts w:ascii="Comic Sans MS" w:hAnsi="Comic Sans MS"/>
                <w:i/>
                <w:sz w:val="18"/>
                <w:szCs w:val="18"/>
              </w:rPr>
              <w:t>Happy Like Soccer</w:t>
            </w:r>
            <w:r>
              <w:rPr>
                <w:rFonts w:ascii="Comic Sans MS" w:hAnsi="Comic Sans MS"/>
                <w:sz w:val="18"/>
                <w:szCs w:val="18"/>
              </w:rPr>
              <w:t xml:space="preserve"> by </w:t>
            </w:r>
            <w:proofErr w:type="spellStart"/>
            <w:r>
              <w:rPr>
                <w:rFonts w:ascii="Comic Sans MS" w:hAnsi="Comic Sans MS"/>
                <w:sz w:val="18"/>
                <w:szCs w:val="18"/>
              </w:rPr>
              <w:t>Maribeth</w:t>
            </w:r>
            <w:proofErr w:type="spellEnd"/>
            <w:r>
              <w:rPr>
                <w:rFonts w:ascii="Comic Sans MS" w:hAnsi="Comic Sans MS"/>
                <w:sz w:val="18"/>
                <w:szCs w:val="18"/>
              </w:rPr>
              <w:t xml:space="preserve"> </w:t>
            </w:r>
            <w:proofErr w:type="spellStart"/>
            <w:r>
              <w:rPr>
                <w:rFonts w:ascii="Comic Sans MS" w:hAnsi="Comic Sans MS"/>
                <w:sz w:val="18"/>
                <w:szCs w:val="18"/>
              </w:rPr>
              <w:t>Boelts</w:t>
            </w:r>
            <w:proofErr w:type="spellEnd"/>
          </w:p>
        </w:tc>
      </w:tr>
      <w:tr w:rsidR="00436C58" w:rsidRPr="00871017" w14:paraId="7796B26C" w14:textId="77777777" w:rsidTr="00552B9E">
        <w:tc>
          <w:tcPr>
            <w:tcW w:w="2160" w:type="dxa"/>
            <w:shd w:val="clear" w:color="auto" w:fill="auto"/>
          </w:tcPr>
          <w:p w14:paraId="4E8B3DEC" w14:textId="79666276"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8370" w:type="dxa"/>
            <w:shd w:val="clear" w:color="auto" w:fill="auto"/>
          </w:tcPr>
          <w:p w14:paraId="3E27C4CA" w14:textId="37199DEB" w:rsidR="00E1733A" w:rsidRPr="00E1733A" w:rsidRDefault="00E1733A" w:rsidP="00E1733A">
            <w:pPr>
              <w:pStyle w:val="ListParagraph"/>
              <w:numPr>
                <w:ilvl w:val="0"/>
                <w:numId w:val="24"/>
              </w:numPr>
              <w:rPr>
                <w:rFonts w:ascii="Comic Sans MS" w:hAnsi="Comic Sans MS"/>
                <w:sz w:val="18"/>
                <w:szCs w:val="18"/>
              </w:rPr>
            </w:pPr>
            <w:r w:rsidRPr="00E1733A">
              <w:rPr>
                <w:rFonts w:ascii="Comic Sans MS" w:hAnsi="Comic Sans MS"/>
                <w:sz w:val="18"/>
                <w:szCs w:val="18"/>
              </w:rPr>
              <w:t xml:space="preserve">The best way to understand the goals and expectations for this unit is to read the first section, “An Orientation to the Unit” on </w:t>
            </w:r>
            <w:proofErr w:type="gramStart"/>
            <w:r w:rsidRPr="00E1733A">
              <w:rPr>
                <w:rFonts w:ascii="Comic Sans MS" w:hAnsi="Comic Sans MS"/>
                <w:sz w:val="18"/>
                <w:szCs w:val="18"/>
              </w:rPr>
              <w:t>pages</w:t>
            </w:r>
            <w:proofErr w:type="gramEnd"/>
            <w:r w:rsidRPr="00E1733A">
              <w:rPr>
                <w:rFonts w:ascii="Comic Sans MS" w:hAnsi="Comic Sans MS"/>
                <w:sz w:val="18"/>
                <w:szCs w:val="18"/>
              </w:rPr>
              <w:t xml:space="preserve"> vi – xiv.  Reading this section prior to starting the unit with your students will help you to get a sense of the unit as a whole, supporting your planning in pacing the unit and angling lessons to meet the needs of your students.</w:t>
            </w:r>
          </w:p>
          <w:p w14:paraId="6CCC14BD" w14:textId="4CAD86EB" w:rsidR="00E1733A" w:rsidRDefault="00E1733A" w:rsidP="00D01777">
            <w:pPr>
              <w:numPr>
                <w:ilvl w:val="0"/>
                <w:numId w:val="22"/>
              </w:numPr>
              <w:rPr>
                <w:rFonts w:ascii="Comic Sans MS" w:hAnsi="Comic Sans MS"/>
                <w:sz w:val="18"/>
                <w:szCs w:val="18"/>
              </w:rPr>
            </w:pPr>
            <w:r>
              <w:rPr>
                <w:rFonts w:ascii="Comic Sans MS" w:hAnsi="Comic Sans MS"/>
                <w:sz w:val="18"/>
                <w:szCs w:val="18"/>
              </w:rPr>
              <w:t xml:space="preserve">In addition to the description of the teaching sessions, be sure to note the two additional sections that support this and every other core unit: suggestions for </w:t>
            </w:r>
            <w:r>
              <w:rPr>
                <w:rFonts w:ascii="Comic Sans MS" w:hAnsi="Comic Sans MS"/>
                <w:b/>
                <w:sz w:val="18"/>
                <w:szCs w:val="18"/>
              </w:rPr>
              <w:t>Read Aloud</w:t>
            </w:r>
            <w:r>
              <w:rPr>
                <w:rFonts w:ascii="Comic Sans MS" w:hAnsi="Comic Sans MS"/>
                <w:sz w:val="18"/>
                <w:szCs w:val="18"/>
              </w:rPr>
              <w:t xml:space="preserve"> (beginning on page 112) and </w:t>
            </w:r>
            <w:r>
              <w:rPr>
                <w:rFonts w:ascii="Comic Sans MS" w:hAnsi="Comic Sans MS"/>
                <w:b/>
                <w:sz w:val="18"/>
                <w:szCs w:val="18"/>
              </w:rPr>
              <w:t>Shared Reading</w:t>
            </w:r>
            <w:r>
              <w:rPr>
                <w:rFonts w:ascii="Comic Sans MS" w:hAnsi="Comic Sans MS"/>
                <w:sz w:val="18"/>
                <w:szCs w:val="18"/>
              </w:rPr>
              <w:t xml:space="preserve"> (beginning on page 123).</w:t>
            </w:r>
          </w:p>
          <w:p w14:paraId="64505BCC" w14:textId="28C7D336" w:rsidR="00A42228" w:rsidRDefault="0037517E" w:rsidP="00D01777">
            <w:pPr>
              <w:numPr>
                <w:ilvl w:val="0"/>
                <w:numId w:val="22"/>
              </w:numPr>
              <w:rPr>
                <w:rFonts w:ascii="Comic Sans MS" w:hAnsi="Comic Sans MS"/>
                <w:sz w:val="18"/>
                <w:szCs w:val="18"/>
              </w:rPr>
            </w:pPr>
            <w:r>
              <w:rPr>
                <w:rFonts w:ascii="Comic Sans MS" w:hAnsi="Comic Sans MS"/>
                <w:sz w:val="18"/>
                <w:szCs w:val="18"/>
              </w:rPr>
              <w:t xml:space="preserve">You will find many suggestions for demonstration </w:t>
            </w:r>
            <w:r w:rsidRPr="001A5B8E">
              <w:rPr>
                <w:rFonts w:ascii="Comic Sans MS" w:hAnsi="Comic Sans MS"/>
                <w:sz w:val="18"/>
                <w:szCs w:val="18"/>
              </w:rPr>
              <w:t>texts</w:t>
            </w:r>
            <w:r>
              <w:rPr>
                <w:rFonts w:ascii="Comic Sans MS" w:hAnsi="Comic Sans MS"/>
                <w:sz w:val="18"/>
                <w:szCs w:val="18"/>
              </w:rPr>
              <w:t xml:space="preserve">, read-aloud and shared reading texts, and texts to support students’ independent reading.  Pages xii – xiv of the unit describe the types of texts you will want to gather for your students’ independent and shared reading.  The texts mentioned on these pages are found in list form on the Grade 2 </w:t>
            </w:r>
            <w:r w:rsidRPr="001A5B8E">
              <w:rPr>
                <w:rFonts w:ascii="Comic Sans MS" w:hAnsi="Comic Sans MS"/>
                <w:b/>
                <w:sz w:val="18"/>
                <w:szCs w:val="18"/>
              </w:rPr>
              <w:t>Mentor Text List</w:t>
            </w:r>
            <w:r>
              <w:rPr>
                <w:rFonts w:ascii="Comic Sans MS" w:hAnsi="Comic Sans MS"/>
                <w:sz w:val="18"/>
                <w:szCs w:val="18"/>
              </w:rPr>
              <w:t xml:space="preserve"> located on the </w:t>
            </w:r>
            <w:hyperlink r:id="rId8" w:history="1">
              <w:r w:rsidRPr="0037517E">
                <w:rPr>
                  <w:rStyle w:val="Hyperlink"/>
                  <w:rFonts w:ascii="Comic Sans MS" w:hAnsi="Comic Sans MS"/>
                  <w:sz w:val="18"/>
                  <w:szCs w:val="18"/>
                </w:rPr>
                <w:t>H</w:t>
              </w:r>
              <w:r w:rsidRPr="0037517E">
                <w:rPr>
                  <w:rStyle w:val="Hyperlink"/>
                  <w:rFonts w:ascii="Comic Sans MS" w:hAnsi="Comic Sans MS"/>
                  <w:sz w:val="18"/>
                  <w:szCs w:val="18"/>
                </w:rPr>
                <w:t>e</w:t>
              </w:r>
              <w:r w:rsidRPr="0037517E">
                <w:rPr>
                  <w:rStyle w:val="Hyperlink"/>
                  <w:rFonts w:ascii="Comic Sans MS" w:hAnsi="Comic Sans MS"/>
                  <w:sz w:val="18"/>
                  <w:szCs w:val="18"/>
                </w:rPr>
                <w:t>inemann resources</w:t>
              </w:r>
            </w:hyperlink>
            <w:r>
              <w:rPr>
                <w:rFonts w:ascii="Comic Sans MS" w:hAnsi="Comic Sans MS"/>
                <w:sz w:val="18"/>
                <w:szCs w:val="18"/>
              </w:rPr>
              <w:t xml:space="preserve"> under Latest News and General </w:t>
            </w:r>
            <w:r>
              <w:rPr>
                <w:rFonts w:ascii="Comic Sans MS" w:hAnsi="Comic Sans MS"/>
                <w:sz w:val="18"/>
                <w:szCs w:val="18"/>
              </w:rPr>
              <w:lastRenderedPageBreak/>
              <w:t xml:space="preserve">Information.  </w:t>
            </w:r>
          </w:p>
          <w:p w14:paraId="2E943DDF" w14:textId="483AE1B2" w:rsidR="001A5B8E" w:rsidRDefault="001A5B8E" w:rsidP="00655A72">
            <w:pPr>
              <w:numPr>
                <w:ilvl w:val="0"/>
                <w:numId w:val="4"/>
              </w:numPr>
              <w:rPr>
                <w:rFonts w:ascii="Comic Sans MS" w:hAnsi="Comic Sans MS"/>
                <w:sz w:val="18"/>
                <w:szCs w:val="18"/>
              </w:rPr>
            </w:pPr>
            <w:r>
              <w:rPr>
                <w:rFonts w:ascii="Comic Sans MS" w:hAnsi="Comic Sans MS"/>
                <w:sz w:val="18"/>
                <w:szCs w:val="18"/>
              </w:rPr>
              <w:t>This unit supports students in the foundational skills of literacy, with a focus on fluency, developing stamina for longer books, and understanding literary language.  These lessons are not only foundational to</w:t>
            </w:r>
            <w:r w:rsidR="00523EEA">
              <w:rPr>
                <w:rFonts w:ascii="Comic Sans MS" w:hAnsi="Comic Sans MS"/>
                <w:sz w:val="18"/>
                <w:szCs w:val="18"/>
              </w:rPr>
              <w:t xml:space="preserve"> the next narrative unit in Grade 2 (</w:t>
            </w:r>
            <w:r w:rsidR="00523EEA">
              <w:rPr>
                <w:rFonts w:ascii="Comic Sans MS" w:hAnsi="Comic Sans MS"/>
                <w:i/>
                <w:sz w:val="18"/>
                <w:szCs w:val="18"/>
              </w:rPr>
              <w:t>Series Book Clubs</w:t>
            </w:r>
            <w:r w:rsidR="00523EEA">
              <w:rPr>
                <w:rFonts w:ascii="Comic Sans MS" w:hAnsi="Comic Sans MS"/>
                <w:sz w:val="18"/>
                <w:szCs w:val="18"/>
              </w:rPr>
              <w:t>) but also to the work students will do in Grade 3.  They will also support students in their nonfiction reading, both in small groups during this unit and in the next reading unit.</w:t>
            </w:r>
          </w:p>
          <w:p w14:paraId="650D8E25" w14:textId="786C9D3F" w:rsidR="00812D2B" w:rsidRDefault="00523EEA" w:rsidP="00655A72">
            <w:pPr>
              <w:numPr>
                <w:ilvl w:val="0"/>
                <w:numId w:val="4"/>
              </w:numPr>
              <w:rPr>
                <w:rFonts w:ascii="Comic Sans MS" w:hAnsi="Comic Sans MS"/>
                <w:sz w:val="18"/>
                <w:szCs w:val="18"/>
              </w:rPr>
            </w:pPr>
            <w:r>
              <w:rPr>
                <w:rFonts w:ascii="Comic Sans MS" w:hAnsi="Comic Sans MS"/>
                <w:sz w:val="18"/>
                <w:szCs w:val="18"/>
              </w:rPr>
              <w:t>Bend I focuses on developing aspects of reading fluency: pace, phrasing, and prosody (timing, phrasing, stress, intonation used to convey meaning).  While students will practice strategies to increase reading fluency, they will do it in the context of authentic text, keeping meaning in the forefront of this work.</w:t>
            </w:r>
          </w:p>
          <w:p w14:paraId="2AA1ECF1" w14:textId="3B397EF8" w:rsidR="00523EEA" w:rsidRDefault="00523EEA" w:rsidP="00655A72">
            <w:pPr>
              <w:numPr>
                <w:ilvl w:val="0"/>
                <w:numId w:val="4"/>
              </w:numPr>
              <w:rPr>
                <w:rFonts w:ascii="Comic Sans MS" w:hAnsi="Comic Sans MS"/>
                <w:sz w:val="18"/>
                <w:szCs w:val="18"/>
              </w:rPr>
            </w:pPr>
            <w:r>
              <w:rPr>
                <w:rFonts w:ascii="Comic Sans MS" w:hAnsi="Comic Sans MS"/>
                <w:sz w:val="18"/>
                <w:szCs w:val="18"/>
              </w:rPr>
              <w:t>Bend II highlights the techniques authors u</w:t>
            </w:r>
            <w:r w:rsidR="00806BEA">
              <w:rPr>
                <w:rFonts w:ascii="Comic Sans MS" w:hAnsi="Comic Sans MS"/>
                <w:sz w:val="18"/>
                <w:szCs w:val="18"/>
              </w:rPr>
              <w:t>se to convey meaning.  They will learn to notice literary language in favorite mentor texts and consider what the</w:t>
            </w:r>
            <w:bookmarkStart w:id="0" w:name="_GoBack"/>
            <w:bookmarkEnd w:id="0"/>
            <w:r w:rsidR="00806BEA">
              <w:rPr>
                <w:rFonts w:ascii="Comic Sans MS" w:hAnsi="Comic Sans MS"/>
                <w:sz w:val="18"/>
                <w:szCs w:val="18"/>
              </w:rPr>
              <w:t xml:space="preserve"> author wanted the reader to understand by this language.  Students will have an opportunity to try out this language in their own writing.</w:t>
            </w:r>
          </w:p>
          <w:p w14:paraId="089B0811" w14:textId="77777777" w:rsidR="00806BEA" w:rsidRDefault="00806BEA" w:rsidP="00655A72">
            <w:pPr>
              <w:numPr>
                <w:ilvl w:val="0"/>
                <w:numId w:val="4"/>
              </w:numPr>
              <w:rPr>
                <w:rFonts w:ascii="Comic Sans MS" w:hAnsi="Comic Sans MS"/>
                <w:sz w:val="18"/>
                <w:szCs w:val="18"/>
              </w:rPr>
            </w:pPr>
            <w:r>
              <w:rPr>
                <w:rFonts w:ascii="Comic Sans MS" w:hAnsi="Comic Sans MS"/>
                <w:sz w:val="18"/>
                <w:szCs w:val="18"/>
              </w:rPr>
              <w:t xml:space="preserve">In the third bend, you will set students up in same-book partnerships.  Two children who are reading at similar levels will read the same book together.  This will serve as a scaffold to support students in reading longer books.  They will learn to use Post-it notes to track the important events in their longer books, which they will “use like a trail of breadcrumbs” (p. x).  </w:t>
            </w:r>
          </w:p>
          <w:p w14:paraId="33E1C6DC" w14:textId="5044EA47" w:rsidR="00806BEA" w:rsidRPr="00936D9D" w:rsidRDefault="00806BEA" w:rsidP="00655A72">
            <w:pPr>
              <w:numPr>
                <w:ilvl w:val="0"/>
                <w:numId w:val="4"/>
              </w:numPr>
              <w:rPr>
                <w:rFonts w:ascii="Comic Sans MS" w:hAnsi="Comic Sans MS"/>
                <w:sz w:val="18"/>
                <w:szCs w:val="18"/>
              </w:rPr>
            </w:pPr>
            <w:r>
              <w:rPr>
                <w:rFonts w:ascii="Comic Sans MS" w:hAnsi="Comic Sans MS"/>
                <w:sz w:val="18"/>
                <w:szCs w:val="18"/>
              </w:rPr>
              <w:t>In the final bend of this unit, students will do some self-assessment and set thoughtful goals for their reading.  You will set students up in clubs with similar goals, such as the Fluency Club, the Literary Language Club, and the Keeping Track of Longer Books Club.  These clubs will support the work of the first three bends, replacing partner time from the third bend.  Each club w</w:t>
            </w:r>
            <w:r w:rsidR="00552B9E">
              <w:rPr>
                <w:rFonts w:ascii="Comic Sans MS" w:hAnsi="Comic Sans MS"/>
                <w:sz w:val="18"/>
                <w:szCs w:val="18"/>
              </w:rPr>
              <w:t>ill have three to four students, with the work of the club focusing on the goal.  You will teach them how to give helpful feedback to one another and how to use the unit anchor charts to work toward their goals.</w:t>
            </w:r>
          </w:p>
        </w:tc>
      </w:tr>
      <w:tr w:rsidR="00A14EB3" w:rsidRPr="00871017" w14:paraId="4887E713" w14:textId="77777777" w:rsidTr="00552B9E">
        <w:tc>
          <w:tcPr>
            <w:tcW w:w="2160" w:type="dxa"/>
            <w:shd w:val="clear" w:color="auto" w:fill="auto"/>
          </w:tcPr>
          <w:p w14:paraId="6B47C488" w14:textId="3E9135D0"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8370" w:type="dxa"/>
            <w:shd w:val="clear" w:color="auto" w:fill="auto"/>
          </w:tcPr>
          <w:p w14:paraId="3B4B7371" w14:textId="77777777" w:rsidR="00413915" w:rsidRDefault="00413915" w:rsidP="0082248D">
            <w:pPr>
              <w:numPr>
                <w:ilvl w:val="0"/>
                <w:numId w:val="11"/>
              </w:numPr>
              <w:rPr>
                <w:rFonts w:ascii="Comic Sans MS" w:hAnsi="Comic Sans MS"/>
                <w:sz w:val="18"/>
                <w:szCs w:val="18"/>
              </w:rPr>
            </w:pPr>
            <w:r>
              <w:rPr>
                <w:rFonts w:ascii="Comic Sans MS" w:hAnsi="Comic Sans MS"/>
                <w:sz w:val="18"/>
                <w:szCs w:val="18"/>
              </w:rPr>
              <w:t xml:space="preserve">During this unit, children should be prepared </w:t>
            </w:r>
            <w:r w:rsidR="00B37E23">
              <w:rPr>
                <w:rFonts w:ascii="Comic Sans MS" w:hAnsi="Comic Sans MS"/>
                <w:sz w:val="18"/>
                <w:szCs w:val="18"/>
              </w:rPr>
              <w:t xml:space="preserve">to spend a majority of the </w:t>
            </w:r>
            <w:r>
              <w:rPr>
                <w:rFonts w:ascii="Comic Sans MS" w:hAnsi="Comic Sans MS"/>
                <w:sz w:val="18"/>
                <w:szCs w:val="18"/>
              </w:rPr>
              <w:t>independent reading</w:t>
            </w:r>
            <w:r w:rsidR="00B37E23">
              <w:rPr>
                <w:rFonts w:ascii="Comic Sans MS" w:hAnsi="Comic Sans MS"/>
                <w:sz w:val="18"/>
                <w:szCs w:val="18"/>
              </w:rPr>
              <w:t xml:space="preserve"> block </w:t>
            </w:r>
            <w:r>
              <w:rPr>
                <w:rFonts w:ascii="Comic Sans MS" w:hAnsi="Comic Sans MS"/>
                <w:sz w:val="18"/>
                <w:szCs w:val="18"/>
              </w:rPr>
              <w:t>with a collection (bag, bin, basket</w:t>
            </w:r>
            <w:r w:rsidR="00B37E23">
              <w:rPr>
                <w:rFonts w:ascii="Comic Sans MS" w:hAnsi="Comic Sans MS"/>
                <w:sz w:val="18"/>
                <w:szCs w:val="18"/>
              </w:rPr>
              <w:t xml:space="preserve">) of books at their “just right” level, collections </w:t>
            </w:r>
            <w:r>
              <w:rPr>
                <w:rFonts w:ascii="Comic Sans MS" w:hAnsi="Comic Sans MS"/>
                <w:sz w:val="18"/>
                <w:szCs w:val="18"/>
              </w:rPr>
              <w:t xml:space="preserve">that contain a number of fiction books with rich characters. </w:t>
            </w:r>
            <w:r w:rsidR="00B37E23">
              <w:rPr>
                <w:rFonts w:ascii="Comic Sans MS" w:hAnsi="Comic Sans MS"/>
                <w:sz w:val="18"/>
                <w:szCs w:val="18"/>
              </w:rPr>
              <w:t xml:space="preserve"> In addition to physical copies of these just right books, digital collections can also be created </w:t>
            </w:r>
            <w:r w:rsidR="00C24F33">
              <w:rPr>
                <w:rFonts w:ascii="Comic Sans MS" w:hAnsi="Comic Sans MS"/>
                <w:sz w:val="18"/>
                <w:szCs w:val="18"/>
              </w:rPr>
              <w:t xml:space="preserve">and accessed </w:t>
            </w:r>
            <w:r w:rsidR="00B37E23">
              <w:rPr>
                <w:rFonts w:ascii="Comic Sans MS" w:hAnsi="Comic Sans MS"/>
                <w:sz w:val="18"/>
                <w:szCs w:val="18"/>
              </w:rPr>
              <w:t>through Storia.</w:t>
            </w:r>
          </w:p>
          <w:p w14:paraId="58988E64" w14:textId="77777777" w:rsidR="00413915" w:rsidRPr="00413915" w:rsidRDefault="00A84133" w:rsidP="0082248D">
            <w:pPr>
              <w:numPr>
                <w:ilvl w:val="0"/>
                <w:numId w:val="11"/>
              </w:numPr>
              <w:rPr>
                <w:rFonts w:ascii="Comic Sans MS" w:hAnsi="Comic Sans MS"/>
                <w:sz w:val="18"/>
                <w:szCs w:val="18"/>
              </w:rPr>
            </w:pPr>
            <w:r w:rsidRPr="00871017">
              <w:rPr>
                <w:rFonts w:ascii="Comic Sans MS" w:hAnsi="Comic Sans MS"/>
                <w:sz w:val="18"/>
                <w:szCs w:val="18"/>
              </w:rPr>
              <w:t xml:space="preserve">The classroom library should have a range of texts in terms of </w:t>
            </w:r>
            <w:r w:rsidR="00871017" w:rsidRPr="00871017">
              <w:rPr>
                <w:rFonts w:ascii="Comic Sans MS" w:hAnsi="Comic Sans MS"/>
                <w:sz w:val="18"/>
                <w:szCs w:val="18"/>
              </w:rPr>
              <w:t>complexity, genre, authors and length to appeal to the diversity of readers in your classroom</w:t>
            </w:r>
          </w:p>
          <w:p w14:paraId="6F9B7215" w14:textId="77777777" w:rsidR="00871017" w:rsidRPr="00871017" w:rsidRDefault="00871017" w:rsidP="0082248D">
            <w:pPr>
              <w:numPr>
                <w:ilvl w:val="0"/>
                <w:numId w:val="11"/>
              </w:numPr>
              <w:rPr>
                <w:rFonts w:ascii="Comic Sans MS" w:hAnsi="Comic Sans MS"/>
                <w:sz w:val="18"/>
                <w:szCs w:val="18"/>
              </w:rPr>
            </w:pPr>
            <w:r w:rsidRPr="00871017">
              <w:rPr>
                <w:rFonts w:ascii="Comic Sans MS" w:hAnsi="Comic Sans MS"/>
                <w:sz w:val="18"/>
                <w:szCs w:val="18"/>
              </w:rPr>
              <w:t>Books can be organized by author, genre, text type</w:t>
            </w:r>
          </w:p>
          <w:p w14:paraId="39749514" w14:textId="77777777" w:rsidR="00871017" w:rsidRPr="00C24F33" w:rsidRDefault="00871017" w:rsidP="0082248D">
            <w:pPr>
              <w:numPr>
                <w:ilvl w:val="0"/>
                <w:numId w:val="11"/>
              </w:numPr>
              <w:rPr>
                <w:rFonts w:ascii="Comic Sans MS" w:hAnsi="Comic Sans MS"/>
                <w:sz w:val="18"/>
                <w:szCs w:val="18"/>
              </w:rPr>
            </w:pPr>
            <w:r w:rsidRPr="00871017">
              <w:rPr>
                <w:rFonts w:ascii="Comic Sans MS" w:hAnsi="Comic Sans MS"/>
                <w:sz w:val="18"/>
                <w:szCs w:val="18"/>
              </w:rPr>
              <w:t>Some portio</w:t>
            </w:r>
            <w:r w:rsidR="00BB1621">
              <w:rPr>
                <w:rFonts w:ascii="Comic Sans MS" w:hAnsi="Comic Sans MS"/>
                <w:sz w:val="18"/>
                <w:szCs w:val="18"/>
              </w:rPr>
              <w:t>n of the library may be leveled.</w:t>
            </w:r>
          </w:p>
        </w:tc>
      </w:tr>
      <w:tr w:rsidR="00A14EB3" w:rsidRPr="00871017" w14:paraId="11C0BDA7" w14:textId="77777777" w:rsidTr="00552B9E">
        <w:tc>
          <w:tcPr>
            <w:tcW w:w="2160" w:type="dxa"/>
            <w:shd w:val="clear" w:color="auto" w:fill="auto"/>
          </w:tcPr>
          <w:p w14:paraId="20B89055" w14:textId="77777777" w:rsidR="00A14EB3" w:rsidRPr="00871017" w:rsidRDefault="00A14EB3">
            <w:pPr>
              <w:rPr>
                <w:rFonts w:ascii="Comic Sans MS" w:hAnsi="Comic Sans MS"/>
                <w:b/>
                <w:sz w:val="22"/>
                <w:szCs w:val="22"/>
              </w:rPr>
            </w:pPr>
            <w:r w:rsidRPr="00871017">
              <w:rPr>
                <w:rFonts w:ascii="Comic Sans MS" w:hAnsi="Comic Sans MS"/>
                <w:b/>
                <w:sz w:val="22"/>
                <w:szCs w:val="22"/>
              </w:rPr>
              <w:t>Materials and Resources</w:t>
            </w:r>
          </w:p>
        </w:tc>
        <w:tc>
          <w:tcPr>
            <w:tcW w:w="8370" w:type="dxa"/>
            <w:shd w:val="clear" w:color="auto" w:fill="auto"/>
          </w:tcPr>
          <w:p w14:paraId="3A17248D" w14:textId="2F9B1FB3" w:rsidR="00D5658C" w:rsidRDefault="00EA2C20" w:rsidP="00D470D1">
            <w:pPr>
              <w:numPr>
                <w:ilvl w:val="0"/>
                <w:numId w:val="10"/>
              </w:numPr>
              <w:rPr>
                <w:rFonts w:ascii="Comic Sans MS" w:hAnsi="Comic Sans MS"/>
                <w:sz w:val="18"/>
                <w:szCs w:val="18"/>
              </w:rPr>
            </w:pPr>
            <w:r>
              <w:rPr>
                <w:rFonts w:ascii="Comic Sans MS" w:hAnsi="Comic Sans MS"/>
                <w:sz w:val="18"/>
                <w:szCs w:val="18"/>
              </w:rPr>
              <w:t>High-interest f</w:t>
            </w:r>
            <w:r w:rsidR="00D470D1">
              <w:rPr>
                <w:rFonts w:ascii="Comic Sans MS" w:hAnsi="Comic Sans MS"/>
                <w:sz w:val="18"/>
                <w:szCs w:val="18"/>
              </w:rPr>
              <w:t>iction and poetry</w:t>
            </w:r>
            <w:r>
              <w:rPr>
                <w:rFonts w:ascii="Comic Sans MS" w:hAnsi="Comic Sans MS"/>
                <w:sz w:val="18"/>
                <w:szCs w:val="18"/>
              </w:rPr>
              <w:t xml:space="preserve"> that students can read independently</w:t>
            </w:r>
          </w:p>
          <w:p w14:paraId="3DF596D5" w14:textId="77777777" w:rsidR="00D470D1" w:rsidRDefault="00D470D1" w:rsidP="00D470D1">
            <w:pPr>
              <w:numPr>
                <w:ilvl w:val="0"/>
                <w:numId w:val="10"/>
              </w:numPr>
              <w:rPr>
                <w:rFonts w:ascii="Comic Sans MS" w:hAnsi="Comic Sans MS"/>
                <w:sz w:val="18"/>
                <w:szCs w:val="18"/>
              </w:rPr>
            </w:pPr>
            <w:r>
              <w:rPr>
                <w:rFonts w:ascii="Comic Sans MS" w:hAnsi="Comic Sans MS"/>
                <w:sz w:val="18"/>
                <w:szCs w:val="18"/>
              </w:rPr>
              <w:t xml:space="preserve">Anchor charts found at </w:t>
            </w:r>
            <w:hyperlink r:id="rId9" w:history="1">
              <w:r w:rsidRPr="00D470D1">
                <w:rPr>
                  <w:rStyle w:val="Hyperlink"/>
                  <w:rFonts w:ascii="Comic Sans MS" w:hAnsi="Comic Sans MS"/>
                  <w:sz w:val="18"/>
                  <w:szCs w:val="18"/>
                </w:rPr>
                <w:t>heinemann.com</w:t>
              </w:r>
            </w:hyperlink>
          </w:p>
          <w:p w14:paraId="6D1BD438" w14:textId="77777777" w:rsidR="00EA2C20" w:rsidRDefault="00D470D1" w:rsidP="00EA2C20">
            <w:pPr>
              <w:numPr>
                <w:ilvl w:val="0"/>
                <w:numId w:val="10"/>
              </w:numPr>
              <w:rPr>
                <w:rFonts w:ascii="Comic Sans MS" w:hAnsi="Comic Sans MS"/>
                <w:sz w:val="18"/>
                <w:szCs w:val="18"/>
              </w:rPr>
            </w:pPr>
            <w:r>
              <w:rPr>
                <w:rFonts w:ascii="Comic Sans MS" w:hAnsi="Comic Sans MS"/>
                <w:sz w:val="18"/>
                <w:szCs w:val="18"/>
              </w:rPr>
              <w:t>Anchor charts from previous units to remind students about reading strategies that are already part of their “toolbox”</w:t>
            </w:r>
          </w:p>
          <w:p w14:paraId="6CB76D0F" w14:textId="77777777" w:rsidR="00EA2C20" w:rsidRDefault="00EA2C20" w:rsidP="00EA2C20">
            <w:pPr>
              <w:numPr>
                <w:ilvl w:val="0"/>
                <w:numId w:val="10"/>
              </w:numPr>
              <w:rPr>
                <w:rFonts w:ascii="Comic Sans MS" w:hAnsi="Comic Sans MS"/>
                <w:sz w:val="18"/>
                <w:szCs w:val="18"/>
              </w:rPr>
            </w:pPr>
            <w:r>
              <w:rPr>
                <w:rFonts w:ascii="Comic Sans MS" w:hAnsi="Comic Sans MS"/>
                <w:sz w:val="18"/>
                <w:szCs w:val="18"/>
              </w:rPr>
              <w:t>Table baskets, for the beginning of the unit, filled with poems, songs, and other texts rich with literary language; these texts will support the fluency work at the beginning of the unit (see page xii for more specific information on compiling these baskets)</w:t>
            </w:r>
          </w:p>
          <w:p w14:paraId="62CDF1C3" w14:textId="7F0B258F" w:rsidR="00395617" w:rsidRPr="00EA2C20" w:rsidRDefault="00395617" w:rsidP="00EA2C20">
            <w:pPr>
              <w:numPr>
                <w:ilvl w:val="0"/>
                <w:numId w:val="10"/>
              </w:numPr>
              <w:rPr>
                <w:rFonts w:ascii="Comic Sans MS" w:hAnsi="Comic Sans MS"/>
                <w:sz w:val="18"/>
                <w:szCs w:val="18"/>
              </w:rPr>
            </w:pPr>
            <w:r>
              <w:rPr>
                <w:rFonts w:ascii="Comic Sans MS" w:hAnsi="Comic Sans MS"/>
                <w:sz w:val="18"/>
                <w:szCs w:val="18"/>
              </w:rPr>
              <w:t xml:space="preserve">Special tools to encourage student engagement, found under particular sessions for the unit on </w:t>
            </w:r>
            <w:hyperlink r:id="rId10" w:history="1">
              <w:r w:rsidRPr="00395617">
                <w:rPr>
                  <w:rStyle w:val="Hyperlink"/>
                  <w:rFonts w:ascii="Comic Sans MS" w:hAnsi="Comic Sans MS"/>
                  <w:sz w:val="18"/>
                  <w:szCs w:val="18"/>
                </w:rPr>
                <w:t>heinemann.com</w:t>
              </w:r>
            </w:hyperlink>
            <w:r>
              <w:rPr>
                <w:rFonts w:ascii="Comic Sans MS" w:hAnsi="Comic Sans MS"/>
                <w:sz w:val="18"/>
                <w:szCs w:val="18"/>
              </w:rPr>
              <w:t xml:space="preserve">; these are indicated by the </w:t>
            </w:r>
            <w:r w:rsidR="00523EEA">
              <w:rPr>
                <w:rFonts w:ascii="Comic Sans MS" w:hAnsi="Comic Sans MS"/>
                <w:sz w:val="18"/>
                <w:szCs w:val="18"/>
              </w:rPr>
              <w:t>“finger click” icon under the “Getting Ready” section of each session in the unit</w:t>
            </w:r>
          </w:p>
        </w:tc>
      </w:tr>
      <w:tr w:rsidR="00A14EB3" w:rsidRPr="00871017" w14:paraId="3D8229EC" w14:textId="77777777" w:rsidTr="00552B9E">
        <w:tc>
          <w:tcPr>
            <w:tcW w:w="2160" w:type="dxa"/>
            <w:shd w:val="clear" w:color="auto" w:fill="auto"/>
          </w:tcPr>
          <w:p w14:paraId="2A387427" w14:textId="24E1FDFB"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8370" w:type="dxa"/>
            <w:shd w:val="clear" w:color="auto" w:fill="auto"/>
          </w:tcPr>
          <w:p w14:paraId="17579B1C" w14:textId="4B2FC1C2" w:rsidR="00812D2B" w:rsidRDefault="000B3269" w:rsidP="00A72A1E">
            <w:pPr>
              <w:numPr>
                <w:ilvl w:val="0"/>
                <w:numId w:val="9"/>
              </w:numPr>
              <w:rPr>
                <w:rFonts w:ascii="Comic Sans MS" w:hAnsi="Comic Sans MS"/>
                <w:sz w:val="18"/>
                <w:szCs w:val="18"/>
              </w:rPr>
            </w:pPr>
            <w:r>
              <w:rPr>
                <w:rFonts w:ascii="Comic Sans MS" w:hAnsi="Comic Sans MS"/>
                <w:sz w:val="18"/>
                <w:szCs w:val="18"/>
              </w:rPr>
              <w:t xml:space="preserve">It will be important to analyze students’ miscues on your ongoing running records and your Benchmark Assessment System reading records to determine how readers use meaning, structure and visual information to solve words, how they solve multisyllabic words, whether they self-correct, etc. </w:t>
            </w:r>
          </w:p>
          <w:p w14:paraId="16E6315B" w14:textId="77777777" w:rsidR="00812D2B" w:rsidRDefault="00812D2B" w:rsidP="00A72A1E">
            <w:pPr>
              <w:numPr>
                <w:ilvl w:val="0"/>
                <w:numId w:val="9"/>
              </w:numPr>
              <w:rPr>
                <w:rFonts w:ascii="Comic Sans MS" w:hAnsi="Comic Sans MS"/>
                <w:sz w:val="18"/>
                <w:szCs w:val="18"/>
              </w:rPr>
            </w:pPr>
            <w:r>
              <w:rPr>
                <w:rFonts w:ascii="Comic Sans MS" w:hAnsi="Comic Sans MS"/>
                <w:sz w:val="18"/>
                <w:szCs w:val="18"/>
              </w:rPr>
              <w:t>BAS</w:t>
            </w:r>
          </w:p>
          <w:p w14:paraId="18001BAB" w14:textId="77777777" w:rsidR="00187EA6" w:rsidRDefault="00413915" w:rsidP="00A72A1E">
            <w:pPr>
              <w:numPr>
                <w:ilvl w:val="0"/>
                <w:numId w:val="9"/>
              </w:numPr>
              <w:rPr>
                <w:rFonts w:ascii="Comic Sans MS" w:hAnsi="Comic Sans MS"/>
                <w:sz w:val="18"/>
                <w:szCs w:val="18"/>
              </w:rPr>
            </w:pPr>
            <w:r>
              <w:rPr>
                <w:rFonts w:ascii="Comic Sans MS" w:hAnsi="Comic Sans MS"/>
                <w:sz w:val="18"/>
                <w:szCs w:val="18"/>
              </w:rPr>
              <w:t>Running Records</w:t>
            </w:r>
          </w:p>
          <w:p w14:paraId="0DAC0383" w14:textId="77777777" w:rsidR="006B6150" w:rsidRDefault="00297B05" w:rsidP="00A72A1E">
            <w:pPr>
              <w:numPr>
                <w:ilvl w:val="0"/>
                <w:numId w:val="9"/>
              </w:numPr>
              <w:rPr>
                <w:rFonts w:ascii="Comic Sans MS" w:hAnsi="Comic Sans MS"/>
                <w:sz w:val="18"/>
                <w:szCs w:val="18"/>
              </w:rPr>
            </w:pPr>
            <w:r>
              <w:rPr>
                <w:rFonts w:ascii="Comic Sans MS" w:hAnsi="Comic Sans MS"/>
                <w:sz w:val="18"/>
                <w:szCs w:val="18"/>
              </w:rPr>
              <w:t>Conference notes</w:t>
            </w:r>
          </w:p>
          <w:p w14:paraId="1ABAEB15" w14:textId="77777777" w:rsidR="00297B05" w:rsidRDefault="00297B05" w:rsidP="00A72A1E">
            <w:pPr>
              <w:numPr>
                <w:ilvl w:val="0"/>
                <w:numId w:val="9"/>
              </w:numPr>
              <w:rPr>
                <w:rFonts w:ascii="Comic Sans MS" w:hAnsi="Comic Sans MS"/>
                <w:sz w:val="18"/>
                <w:szCs w:val="18"/>
              </w:rPr>
            </w:pPr>
            <w:r>
              <w:rPr>
                <w:rFonts w:ascii="Comic Sans MS" w:hAnsi="Comic Sans MS"/>
                <w:sz w:val="18"/>
                <w:szCs w:val="18"/>
              </w:rPr>
              <w:t xml:space="preserve">Student sticky notes to monitor comprehension </w:t>
            </w:r>
          </w:p>
          <w:p w14:paraId="57323E05" w14:textId="1A02CE1C" w:rsidR="00297B05" w:rsidRPr="00812D2B" w:rsidRDefault="00297B05" w:rsidP="00297B05">
            <w:pPr>
              <w:numPr>
                <w:ilvl w:val="0"/>
                <w:numId w:val="9"/>
              </w:numPr>
              <w:rPr>
                <w:rFonts w:ascii="Comic Sans MS" w:hAnsi="Comic Sans MS"/>
                <w:sz w:val="18"/>
                <w:szCs w:val="18"/>
              </w:rPr>
            </w:pPr>
            <w:r>
              <w:rPr>
                <w:rFonts w:ascii="Comic Sans MS" w:hAnsi="Comic Sans MS"/>
                <w:sz w:val="18"/>
                <w:szCs w:val="18"/>
              </w:rPr>
              <w:t>Reading logs to monitor volume and stamina</w:t>
            </w:r>
          </w:p>
        </w:tc>
      </w:tr>
      <w:tr w:rsidR="00A14EB3" w:rsidRPr="00871017" w14:paraId="47600068" w14:textId="77777777" w:rsidTr="00552B9E">
        <w:tc>
          <w:tcPr>
            <w:tcW w:w="2160" w:type="dxa"/>
            <w:shd w:val="clear" w:color="auto" w:fill="auto"/>
          </w:tcPr>
          <w:p w14:paraId="458F0FFC" w14:textId="1B0F6ACB"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8370" w:type="dxa"/>
            <w:shd w:val="clear" w:color="auto" w:fill="auto"/>
          </w:tcPr>
          <w:p w14:paraId="6DC205A8" w14:textId="5B2077BD" w:rsidR="00664385" w:rsidRPr="00000C04" w:rsidRDefault="00413915" w:rsidP="00000C04">
            <w:pPr>
              <w:widowControl w:val="0"/>
              <w:numPr>
                <w:ilvl w:val="0"/>
                <w:numId w:val="23"/>
              </w:numPr>
              <w:autoSpaceDE w:val="0"/>
              <w:autoSpaceDN w:val="0"/>
              <w:adjustRightInd w:val="0"/>
              <w:spacing w:after="240"/>
              <w:rPr>
                <w:rFonts w:ascii="Comic Sans MS" w:hAnsi="Comic Sans MS" w:cs="Times"/>
                <w:sz w:val="18"/>
                <w:szCs w:val="18"/>
              </w:rPr>
            </w:pPr>
            <w:r w:rsidRPr="00413915">
              <w:rPr>
                <w:rFonts w:ascii="Comic Sans MS" w:hAnsi="Comic Sans MS" w:cs="Palatino"/>
                <w:sz w:val="18"/>
                <w:szCs w:val="18"/>
              </w:rPr>
              <w:t>Yo</w:t>
            </w:r>
            <w:r w:rsidR="000C06F3">
              <w:rPr>
                <w:rFonts w:ascii="Comic Sans MS" w:hAnsi="Comic Sans MS" w:cs="Palatino"/>
                <w:sz w:val="18"/>
                <w:szCs w:val="18"/>
              </w:rPr>
              <w:t xml:space="preserve">u can celebrate the unit by positioning students to play the role of a researcher.  </w:t>
            </w:r>
            <w:r w:rsidR="004D3430">
              <w:rPr>
                <w:rFonts w:ascii="Comic Sans MS" w:hAnsi="Comic Sans MS" w:cs="Palatino"/>
                <w:sz w:val="18"/>
                <w:szCs w:val="18"/>
              </w:rPr>
              <w:t xml:space="preserve">They </w:t>
            </w:r>
            <w:r w:rsidR="004D3430">
              <w:rPr>
                <w:rFonts w:ascii="Comic Sans MS" w:hAnsi="Comic Sans MS" w:cs="Palatino"/>
                <w:sz w:val="18"/>
                <w:szCs w:val="18"/>
              </w:rPr>
              <w:lastRenderedPageBreak/>
              <w:t>can have the opportunity to release their own news bulletins in which they teach others about reading, either through the sc</w:t>
            </w:r>
            <w:r w:rsidR="00000C04">
              <w:rPr>
                <w:rFonts w:ascii="Comic Sans MS" w:hAnsi="Comic Sans MS" w:cs="Palatino"/>
                <w:sz w:val="18"/>
                <w:szCs w:val="18"/>
              </w:rPr>
              <w:t>hool newspaper or a note home, so that all readers can be better readers as a result of their research in the unit.  See page 108 for specific details on this suggestion.</w:t>
            </w:r>
          </w:p>
        </w:tc>
      </w:tr>
    </w:tbl>
    <w:p w14:paraId="48FC71B8"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A0811" w14:textId="77777777" w:rsidR="00521D2A" w:rsidRDefault="00521D2A">
      <w:r>
        <w:separator/>
      </w:r>
    </w:p>
  </w:endnote>
  <w:endnote w:type="continuationSeparator" w:id="0">
    <w:p w14:paraId="110F2193" w14:textId="77777777" w:rsidR="00521D2A" w:rsidRDefault="0052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8EBC" w14:textId="77777777" w:rsidR="00806BEA" w:rsidRPr="0018271C" w:rsidRDefault="00806BEA"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DBBC" w14:textId="77777777" w:rsidR="00521D2A" w:rsidRDefault="00521D2A">
      <w:r>
        <w:separator/>
      </w:r>
    </w:p>
  </w:footnote>
  <w:footnote w:type="continuationSeparator" w:id="0">
    <w:p w14:paraId="1FBBE172" w14:textId="77777777" w:rsidR="00521D2A" w:rsidRDefault="00521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0483" w14:textId="73F34761" w:rsidR="00806BEA" w:rsidRPr="00C3051F" w:rsidRDefault="00806BEA">
    <w:pPr>
      <w:pStyle w:val="Header"/>
      <w:rPr>
        <w:i/>
        <w:sz w:val="20"/>
        <w:szCs w:val="20"/>
      </w:rPr>
    </w:pPr>
    <w:r>
      <w:rPr>
        <w:i/>
        <w:sz w:val="20"/>
        <w:szCs w:val="20"/>
      </w:rPr>
      <w:t>January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E9F"/>
    <w:multiLevelType w:val="hybridMultilevel"/>
    <w:tmpl w:val="F5D0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7142F"/>
    <w:multiLevelType w:val="hybridMultilevel"/>
    <w:tmpl w:val="9868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6052420"/>
    <w:multiLevelType w:val="hybridMultilevel"/>
    <w:tmpl w:val="4A50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036A3"/>
    <w:multiLevelType w:val="hybridMultilevel"/>
    <w:tmpl w:val="A6545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34583"/>
    <w:multiLevelType w:val="hybridMultilevel"/>
    <w:tmpl w:val="0D0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D83FAE"/>
    <w:multiLevelType w:val="hybridMultilevel"/>
    <w:tmpl w:val="837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44EE0"/>
    <w:multiLevelType w:val="hybridMultilevel"/>
    <w:tmpl w:val="FCFE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1D6B52"/>
    <w:multiLevelType w:val="hybridMultilevel"/>
    <w:tmpl w:val="1090B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48302D4E"/>
    <w:multiLevelType w:val="hybridMultilevel"/>
    <w:tmpl w:val="25A0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4E6A06"/>
    <w:multiLevelType w:val="hybridMultilevel"/>
    <w:tmpl w:val="522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7D0398"/>
    <w:multiLevelType w:val="hybridMultilevel"/>
    <w:tmpl w:val="1CD4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8FF0E26"/>
    <w:multiLevelType w:val="hybridMultilevel"/>
    <w:tmpl w:val="8B9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0"/>
  </w:num>
  <w:num w:numId="4">
    <w:abstractNumId w:val="21"/>
  </w:num>
  <w:num w:numId="5">
    <w:abstractNumId w:val="18"/>
  </w:num>
  <w:num w:numId="6">
    <w:abstractNumId w:val="4"/>
  </w:num>
  <w:num w:numId="7">
    <w:abstractNumId w:val="8"/>
  </w:num>
  <w:num w:numId="8">
    <w:abstractNumId w:val="9"/>
  </w:num>
  <w:num w:numId="9">
    <w:abstractNumId w:val="19"/>
  </w:num>
  <w:num w:numId="10">
    <w:abstractNumId w:val="7"/>
  </w:num>
  <w:num w:numId="11">
    <w:abstractNumId w:val="3"/>
  </w:num>
  <w:num w:numId="12">
    <w:abstractNumId w:val="15"/>
  </w:num>
  <w:num w:numId="13">
    <w:abstractNumId w:val="23"/>
  </w:num>
  <w:num w:numId="14">
    <w:abstractNumId w:val="16"/>
  </w:num>
  <w:num w:numId="15">
    <w:abstractNumId w:val="13"/>
  </w:num>
  <w:num w:numId="16">
    <w:abstractNumId w:val="6"/>
  </w:num>
  <w:num w:numId="17">
    <w:abstractNumId w:val="14"/>
  </w:num>
  <w:num w:numId="18">
    <w:abstractNumId w:val="17"/>
  </w:num>
  <w:num w:numId="19">
    <w:abstractNumId w:val="0"/>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0C04"/>
    <w:rsid w:val="000400A5"/>
    <w:rsid w:val="0008545F"/>
    <w:rsid w:val="000B3269"/>
    <w:rsid w:val="000B3A55"/>
    <w:rsid w:val="000C06F3"/>
    <w:rsid w:val="000C45D0"/>
    <w:rsid w:val="000D1E02"/>
    <w:rsid w:val="000E20AF"/>
    <w:rsid w:val="001039DF"/>
    <w:rsid w:val="001224D7"/>
    <w:rsid w:val="00130141"/>
    <w:rsid w:val="0018271C"/>
    <w:rsid w:val="00187EA6"/>
    <w:rsid w:val="001A5B8E"/>
    <w:rsid w:val="001B72F6"/>
    <w:rsid w:val="001F18A0"/>
    <w:rsid w:val="002238F4"/>
    <w:rsid w:val="00241273"/>
    <w:rsid w:val="00245A72"/>
    <w:rsid w:val="00273677"/>
    <w:rsid w:val="00285B4B"/>
    <w:rsid w:val="00297B05"/>
    <w:rsid w:val="002E7FAA"/>
    <w:rsid w:val="00370088"/>
    <w:rsid w:val="0037517E"/>
    <w:rsid w:val="003754AE"/>
    <w:rsid w:val="00395617"/>
    <w:rsid w:val="00413915"/>
    <w:rsid w:val="00436C58"/>
    <w:rsid w:val="00450C9E"/>
    <w:rsid w:val="00460A28"/>
    <w:rsid w:val="00477126"/>
    <w:rsid w:val="004D3430"/>
    <w:rsid w:val="00502AEE"/>
    <w:rsid w:val="00521D2A"/>
    <w:rsid w:val="00523EEA"/>
    <w:rsid w:val="00536B88"/>
    <w:rsid w:val="00552B9E"/>
    <w:rsid w:val="00564B32"/>
    <w:rsid w:val="005A6ED7"/>
    <w:rsid w:val="00655A72"/>
    <w:rsid w:val="006609F0"/>
    <w:rsid w:val="00664385"/>
    <w:rsid w:val="006943E5"/>
    <w:rsid w:val="006B6150"/>
    <w:rsid w:val="006C3A12"/>
    <w:rsid w:val="007746EA"/>
    <w:rsid w:val="007A0E03"/>
    <w:rsid w:val="007B1BB1"/>
    <w:rsid w:val="007E7359"/>
    <w:rsid w:val="00806BEA"/>
    <w:rsid w:val="00811DE6"/>
    <w:rsid w:val="00812D2B"/>
    <w:rsid w:val="00814DEB"/>
    <w:rsid w:val="0082248D"/>
    <w:rsid w:val="00843FDD"/>
    <w:rsid w:val="00871017"/>
    <w:rsid w:val="0089439F"/>
    <w:rsid w:val="008B374F"/>
    <w:rsid w:val="00902A53"/>
    <w:rsid w:val="00902CF5"/>
    <w:rsid w:val="00936D9D"/>
    <w:rsid w:val="0099506B"/>
    <w:rsid w:val="009A3554"/>
    <w:rsid w:val="009B58E2"/>
    <w:rsid w:val="009D0E1A"/>
    <w:rsid w:val="00A14EB3"/>
    <w:rsid w:val="00A42228"/>
    <w:rsid w:val="00A4398F"/>
    <w:rsid w:val="00A45C83"/>
    <w:rsid w:val="00A5652F"/>
    <w:rsid w:val="00A72A1E"/>
    <w:rsid w:val="00A82918"/>
    <w:rsid w:val="00A84133"/>
    <w:rsid w:val="00A9314C"/>
    <w:rsid w:val="00AA4CE4"/>
    <w:rsid w:val="00AB44D1"/>
    <w:rsid w:val="00AB576C"/>
    <w:rsid w:val="00AE344B"/>
    <w:rsid w:val="00AF12B3"/>
    <w:rsid w:val="00B37E23"/>
    <w:rsid w:val="00B4047A"/>
    <w:rsid w:val="00B60CE7"/>
    <w:rsid w:val="00B671A2"/>
    <w:rsid w:val="00B70B2A"/>
    <w:rsid w:val="00B7651A"/>
    <w:rsid w:val="00BB1621"/>
    <w:rsid w:val="00BC39A4"/>
    <w:rsid w:val="00C15682"/>
    <w:rsid w:val="00C24F33"/>
    <w:rsid w:val="00C3051F"/>
    <w:rsid w:val="00C85008"/>
    <w:rsid w:val="00CA1282"/>
    <w:rsid w:val="00CD4C81"/>
    <w:rsid w:val="00CE6FF8"/>
    <w:rsid w:val="00D01777"/>
    <w:rsid w:val="00D05056"/>
    <w:rsid w:val="00D470D1"/>
    <w:rsid w:val="00D5658C"/>
    <w:rsid w:val="00D74594"/>
    <w:rsid w:val="00DE6A3B"/>
    <w:rsid w:val="00E04CEF"/>
    <w:rsid w:val="00E1733A"/>
    <w:rsid w:val="00E6191E"/>
    <w:rsid w:val="00E71976"/>
    <w:rsid w:val="00EA2C20"/>
    <w:rsid w:val="00EC72D0"/>
    <w:rsid w:val="00ED7A5F"/>
    <w:rsid w:val="00F06763"/>
    <w:rsid w:val="00F72938"/>
    <w:rsid w:val="00FA0542"/>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39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link w:val="FooterChar"/>
    <w:uiPriority w:val="99"/>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customStyle="1" w:styleId="FooterChar">
    <w:name w:val="Footer Char"/>
    <w:link w:val="Footer"/>
    <w:uiPriority w:val="99"/>
    <w:rsid w:val="003754AE"/>
    <w:rPr>
      <w:sz w:val="24"/>
      <w:szCs w:val="24"/>
    </w:rPr>
  </w:style>
  <w:style w:type="character" w:styleId="Hyperlink">
    <w:name w:val="Hyperlink"/>
    <w:rsid w:val="00B4047A"/>
    <w:rPr>
      <w:color w:val="0000FF"/>
      <w:u w:val="single"/>
    </w:rPr>
  </w:style>
  <w:style w:type="character" w:styleId="FollowedHyperlink">
    <w:name w:val="FollowedHyperlink"/>
    <w:basedOn w:val="DefaultParagraphFont"/>
    <w:rsid w:val="007E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2689">
      <w:bodyDiv w:val="1"/>
      <w:marLeft w:val="0"/>
      <w:marRight w:val="0"/>
      <w:marTop w:val="0"/>
      <w:marBottom w:val="0"/>
      <w:divBdr>
        <w:top w:val="none" w:sz="0" w:space="0" w:color="auto"/>
        <w:left w:val="none" w:sz="0" w:space="0" w:color="auto"/>
        <w:bottom w:val="none" w:sz="0" w:space="0" w:color="auto"/>
        <w:right w:val="none" w:sz="0" w:space="0" w:color="auto"/>
      </w:divBdr>
    </w:div>
    <w:div w:id="1032193972">
      <w:bodyDiv w:val="1"/>
      <w:marLeft w:val="0"/>
      <w:marRight w:val="0"/>
      <w:marTop w:val="0"/>
      <w:marBottom w:val="0"/>
      <w:divBdr>
        <w:top w:val="none" w:sz="0" w:space="0" w:color="auto"/>
        <w:left w:val="none" w:sz="0" w:space="0" w:color="auto"/>
        <w:bottom w:val="none" w:sz="0" w:space="0" w:color="auto"/>
        <w:right w:val="none" w:sz="0" w:space="0" w:color="auto"/>
      </w:divBdr>
    </w:div>
    <w:div w:id="1071778625">
      <w:bodyDiv w:val="1"/>
      <w:marLeft w:val="0"/>
      <w:marRight w:val="0"/>
      <w:marTop w:val="0"/>
      <w:marBottom w:val="0"/>
      <w:divBdr>
        <w:top w:val="none" w:sz="0" w:space="0" w:color="auto"/>
        <w:left w:val="none" w:sz="0" w:space="0" w:color="auto"/>
        <w:bottom w:val="none" w:sz="0" w:space="0" w:color="auto"/>
        <w:right w:val="none" w:sz="0" w:space="0" w:color="auto"/>
      </w:divBdr>
    </w:div>
    <w:div w:id="1147168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com" TargetMode="External"/><Relationship Id="rId8" Type="http://schemas.openxmlformats.org/officeDocument/2006/relationships/hyperlink" Target="http://www.heinemann.com" TargetMode="External"/><Relationship Id="rId9" Type="http://schemas.openxmlformats.org/officeDocument/2006/relationships/hyperlink" Target="http://www.heinemann.com"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7426</CharactersWithSpaces>
  <SharedDoc>false</SharedDoc>
  <HLinks>
    <vt:vector size="18" baseType="variant">
      <vt:variant>
        <vt:i4>4587601</vt:i4>
      </vt:variant>
      <vt:variant>
        <vt:i4>6</vt:i4>
      </vt:variant>
      <vt:variant>
        <vt:i4>0</vt:i4>
      </vt:variant>
      <vt:variant>
        <vt:i4>5</vt:i4>
      </vt:variant>
      <vt:variant>
        <vt:lpwstr>http://ppsgrade2.weebly.com/teaching-resources3.html</vt:lpwstr>
      </vt:variant>
      <vt:variant>
        <vt:lpwstr/>
      </vt:variant>
      <vt:variant>
        <vt:i4>4587601</vt:i4>
      </vt:variant>
      <vt:variant>
        <vt:i4>3</vt:i4>
      </vt:variant>
      <vt:variant>
        <vt:i4>0</vt:i4>
      </vt:variant>
      <vt:variant>
        <vt:i4>5</vt:i4>
      </vt:variant>
      <vt:variant>
        <vt:lpwstr>http://ppsgrade2.weebly.com/teaching-resources3.html</vt:lpwstr>
      </vt:variant>
      <vt:variant>
        <vt:lpwstr/>
      </vt:variant>
      <vt:variant>
        <vt:i4>3538978</vt:i4>
      </vt:variant>
      <vt:variant>
        <vt:i4>0</vt:i4>
      </vt:variant>
      <vt:variant>
        <vt:i4>0</vt:i4>
      </vt:variant>
      <vt:variant>
        <vt:i4>5</vt:i4>
      </vt:variant>
      <vt:variant>
        <vt:lpwstr>http://ppsgrade2.weebly.com/mentor-texts3.html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2015-08-07T12:23:00Z</cp:lastPrinted>
  <dcterms:created xsi:type="dcterms:W3CDTF">2017-01-19T12:46:00Z</dcterms:created>
  <dcterms:modified xsi:type="dcterms:W3CDTF">2017-01-19T12:46:00Z</dcterms:modified>
</cp:coreProperties>
</file>