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3781" w14:textId="77777777" w:rsidR="00620401" w:rsidRDefault="00A85FAC" w:rsidP="00F571EC">
      <w:pPr>
        <w:pStyle w:val="Heading6"/>
        <w:jc w:val="left"/>
      </w:pPr>
      <w:r>
        <w:t>Unit of Study: Opinion Writing:  Grade 2</w:t>
      </w:r>
      <w:r>
        <w:rPr>
          <w:b w:val="0"/>
        </w:rPr>
        <w:t xml:space="preserve">      Using </w:t>
      </w:r>
      <w:r>
        <w:rPr>
          <w:b w:val="0"/>
          <w:i/>
        </w:rPr>
        <w:t>Writing About Reading</w:t>
      </w:r>
      <w:r>
        <w:rPr>
          <w:b w:val="0"/>
        </w:rPr>
        <w:t xml:space="preserve"> from the </w:t>
      </w:r>
      <w:r>
        <w:rPr>
          <w:b w:val="0"/>
          <w:i/>
        </w:rPr>
        <w:t>Units of Study in Opinion, Information, and Narrative Writing</w:t>
      </w:r>
      <w:r w:rsidR="00224EE4">
        <w:t xml:space="preserve">  </w:t>
      </w:r>
    </w:p>
    <w:p w14:paraId="67E96A92" w14:textId="77777777" w:rsidR="00620401" w:rsidRDefault="00620401" w:rsidP="00F571EC">
      <w:pPr>
        <w:pStyle w:val="Heading6"/>
        <w:jc w:val="left"/>
      </w:pPr>
    </w:p>
    <w:p w14:paraId="70695B28" w14:textId="375C8057" w:rsidR="00224EE4" w:rsidRDefault="00620401" w:rsidP="00F571EC">
      <w:pPr>
        <w:pStyle w:val="Heading6"/>
        <w:jc w:val="left"/>
      </w:pPr>
      <w:r>
        <w:rPr>
          <w:sz w:val="24"/>
          <w:szCs w:val="24"/>
        </w:rPr>
        <w:t xml:space="preserve">** </w:t>
      </w:r>
      <w:r>
        <w:rPr>
          <w:b w:val="0"/>
          <w:sz w:val="24"/>
          <w:szCs w:val="24"/>
        </w:rPr>
        <w:t xml:space="preserve">The first 3 lessons of the unit invite students to write about their opinions about topics and interests in general.  The fourth lesson draws upon the first session of the </w:t>
      </w:r>
      <w:r>
        <w:rPr>
          <w:b w:val="0"/>
          <w:i/>
          <w:sz w:val="24"/>
          <w:szCs w:val="24"/>
        </w:rPr>
        <w:t xml:space="preserve">Writing About Reading </w:t>
      </w:r>
      <w:r>
        <w:rPr>
          <w:b w:val="0"/>
          <w:sz w:val="24"/>
          <w:szCs w:val="24"/>
        </w:rPr>
        <w:t>unit.  After the first three lessons, you may want to offer students opportunities to continue writing about their opinions about the world in a writing center, another time of the day, or during the last 10 minutes of the writing workshop.</w:t>
      </w:r>
      <w:r w:rsidR="00224EE4">
        <w:t xml:space="preserve">  </w:t>
      </w:r>
    </w:p>
    <w:p w14:paraId="14DB1169" w14:textId="77777777" w:rsidR="00F571EC" w:rsidRDefault="00F57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90"/>
        <w:gridCol w:w="3510"/>
        <w:gridCol w:w="3078"/>
      </w:tblGrid>
      <w:tr w:rsidR="00722E42" w14:paraId="4E23A121" w14:textId="77777777" w:rsidTr="00722E42">
        <w:tc>
          <w:tcPr>
            <w:tcW w:w="3978" w:type="dxa"/>
          </w:tcPr>
          <w:p w14:paraId="33379F05" w14:textId="77777777" w:rsidR="00A85FAC" w:rsidRDefault="00A85FAC" w:rsidP="00A85FAC">
            <w:pPr>
              <w:pStyle w:val="Heading2"/>
            </w:pPr>
            <w:r>
              <w:lastRenderedPageBreak/>
              <w:t xml:space="preserve">Prior to the start of the unit:  </w:t>
            </w:r>
          </w:p>
          <w:p w14:paraId="77DC4D4B" w14:textId="77777777" w:rsidR="00A85FAC" w:rsidRDefault="00A85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Pre-Assessment – Opinion Writing (found on the literacy coach website)</w:t>
            </w:r>
          </w:p>
          <w:p w14:paraId="598E2537" w14:textId="77777777" w:rsidR="00A85FAC" w:rsidRPr="00A85FAC" w:rsidRDefault="00A85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Aloud (could be done in the character or series unit) </w:t>
            </w:r>
            <w:r>
              <w:rPr>
                <w:rFonts w:ascii="Comic Sans MS" w:hAnsi="Comic Sans MS"/>
                <w:i/>
              </w:rPr>
              <w:t>Mercy Watson to the Rescue</w:t>
            </w:r>
            <w:r>
              <w:rPr>
                <w:rFonts w:ascii="Comic Sans MS" w:hAnsi="Comic Sans MS"/>
              </w:rPr>
              <w:t xml:space="preserve"> or another similar text</w:t>
            </w:r>
          </w:p>
        </w:tc>
        <w:tc>
          <w:tcPr>
            <w:tcW w:w="3690" w:type="dxa"/>
          </w:tcPr>
          <w:p w14:paraId="3D368945" w14:textId="77777777" w:rsidR="00A85FAC" w:rsidRDefault="00A85FAC">
            <w:pPr>
              <w:pStyle w:val="Heading2"/>
            </w:pPr>
            <w:r>
              <w:t>Day 1</w:t>
            </w:r>
          </w:p>
          <w:p w14:paraId="703CF12F" w14:textId="77777777" w:rsidR="00A85FAC" w:rsidRDefault="00F93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 w:rsidR="00484C1C">
              <w:rPr>
                <w:rFonts w:ascii="Comic Sans MS" w:hAnsi="Comic Sans MS"/>
                <w:b/>
              </w:rPr>
              <w:t>“</w:t>
            </w:r>
            <w:r>
              <w:rPr>
                <w:rFonts w:ascii="Comic Sans MS" w:hAnsi="Comic Sans MS"/>
              </w:rPr>
              <w:t>Writers write about topics they really care about.  They say what they think and why.</w:t>
            </w:r>
            <w:r w:rsidR="00484C1C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 xml:space="preserve"> (Class brainstorming of ideas – things students like/don’t like/think are fair/not fair)</w:t>
            </w:r>
          </w:p>
          <w:p w14:paraId="6CFD7F19" w14:textId="77777777" w:rsidR="00F931C2" w:rsidRPr="00F931C2" w:rsidRDefault="00F93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Independent Writing: </w:t>
            </w:r>
            <w:r>
              <w:rPr>
                <w:rFonts w:ascii="Comic Sans MS" w:hAnsi="Comic Sans MS"/>
              </w:rPr>
              <w:t>Students choose their own topics to write about (share reasons and explain why, finish with one topic, start another)</w:t>
            </w:r>
          </w:p>
        </w:tc>
        <w:tc>
          <w:tcPr>
            <w:tcW w:w="3510" w:type="dxa"/>
          </w:tcPr>
          <w:p w14:paraId="5401D8FE" w14:textId="77777777" w:rsidR="00A85FAC" w:rsidRDefault="00A85FAC">
            <w:pPr>
              <w:pStyle w:val="Heading2"/>
            </w:pPr>
            <w:r>
              <w:t>Day 2</w:t>
            </w:r>
          </w:p>
          <w:p w14:paraId="65EE6C4D" w14:textId="77777777" w:rsidR="00A85FAC" w:rsidRDefault="00F93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</w:t>
            </w:r>
            <w:r w:rsidR="00484C1C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 xml:space="preserve">Writers use LOTS of reasons to explain (support) their opinions. </w:t>
            </w:r>
            <w:r w:rsidR="00484C1C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(Introduce hand as an organizer for talking off of; students turn and talk about their opinions with many reasons to support their thinking.)</w:t>
            </w:r>
          </w:p>
          <w:p w14:paraId="06BDB29F" w14:textId="77777777" w:rsidR="00F931C2" w:rsidRPr="00F931C2" w:rsidRDefault="00F93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Independent Writing:</w:t>
            </w:r>
            <w:r>
              <w:rPr>
                <w:rFonts w:ascii="Comic Sans MS" w:hAnsi="Comic Sans MS"/>
              </w:rPr>
              <w:t xml:space="preserve"> Students continue writing opinions from Day 1 and begin new opinion pieces as they finish pieces-in-progress.</w:t>
            </w:r>
          </w:p>
        </w:tc>
        <w:tc>
          <w:tcPr>
            <w:tcW w:w="3078" w:type="dxa"/>
          </w:tcPr>
          <w:p w14:paraId="367A3FC6" w14:textId="77777777" w:rsidR="00A85FAC" w:rsidRDefault="00A85FAC">
            <w:pPr>
              <w:pStyle w:val="Heading2"/>
            </w:pPr>
            <w:r>
              <w:t>Day 3</w:t>
            </w:r>
          </w:p>
          <w:p w14:paraId="50FE7D8E" w14:textId="056D174A" w:rsidR="008E495F" w:rsidRPr="00722E42" w:rsidRDefault="00722E42" w:rsidP="0072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“When writers are thinking about the reasons that support their opinions, they sometimes need to revise their opinions. “ (If students do not have enough reasons to support an opinion, they can revise their opinions </w:t>
            </w:r>
            <w:r w:rsidR="002F7C77">
              <w:rPr>
                <w:rFonts w:ascii="Comic Sans MS" w:hAnsi="Comic Sans MS"/>
              </w:rPr>
              <w:t>to make them stronger.)</w:t>
            </w:r>
          </w:p>
        </w:tc>
      </w:tr>
      <w:tr w:rsidR="00722E42" w14:paraId="694CA3A9" w14:textId="77777777" w:rsidTr="00722E42">
        <w:tc>
          <w:tcPr>
            <w:tcW w:w="3978" w:type="dxa"/>
          </w:tcPr>
          <w:p w14:paraId="47E94215" w14:textId="77777777" w:rsidR="008E495F" w:rsidRDefault="008E495F">
            <w:pPr>
              <w:pStyle w:val="Heading2"/>
            </w:pPr>
            <w:r>
              <w:t>Day 4</w:t>
            </w:r>
          </w:p>
          <w:p w14:paraId="5DC3E7E7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“Writers write letters to others to share their opinions about characters they love.” (Session 1)</w:t>
            </w:r>
          </w:p>
          <w:p w14:paraId="3FA48287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Independent Writing:</w:t>
            </w:r>
            <w:r>
              <w:rPr>
                <w:rFonts w:ascii="Comic Sans MS" w:hAnsi="Comic Sans MS"/>
              </w:rPr>
              <w:t xml:space="preserve"> Students begin writing letters about characters of their own choosing, addressed: </w:t>
            </w:r>
            <w:r>
              <w:rPr>
                <w:rFonts w:ascii="Comic Sans MS" w:hAnsi="Comic Sans MS"/>
                <w:i/>
              </w:rPr>
              <w:t xml:space="preserve">Dear Readers. </w:t>
            </w:r>
            <w:r>
              <w:rPr>
                <w:rFonts w:ascii="Comic Sans MS" w:hAnsi="Comic Sans MS"/>
              </w:rPr>
              <w:t>Place letters in books around the room (inside addressed envelopes).</w:t>
            </w:r>
          </w:p>
          <w:p w14:paraId="3C2E052B" w14:textId="0DB88C0C" w:rsidR="008E495F" w:rsidRPr="009C1965" w:rsidRDefault="008E495F" w:rsidP="00722E42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14:paraId="4C89157E" w14:textId="77777777" w:rsidR="008E495F" w:rsidRDefault="008E495F" w:rsidP="008E495F">
            <w:pPr>
              <w:pStyle w:val="Heading2"/>
            </w:pPr>
            <w:r>
              <w:t>Day 5</w:t>
            </w:r>
          </w:p>
          <w:p w14:paraId="076FAE4F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>
              <w:rPr>
                <w:rFonts w:ascii="Comic Sans MS" w:hAnsi="Comic Sans MS"/>
              </w:rPr>
              <w:t xml:space="preserve">“Writers rehearse their writing with a partner by talking through big ideas about their books.” (Session 2: fishbowl/turn and talk </w:t>
            </w:r>
          </w:p>
          <w:p w14:paraId="627EB53C" w14:textId="77777777" w:rsidR="00D23BE5" w:rsidRDefault="00D23BE5" w:rsidP="00D23B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Independent Writing:</w:t>
            </w:r>
          </w:p>
          <w:p w14:paraId="31FBA2E7" w14:textId="77777777" w:rsidR="00D23BE5" w:rsidRPr="00615751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write more letters about books of their choosing. Letters are placed in writing folders.</w:t>
            </w:r>
          </w:p>
          <w:p w14:paraId="3D9FD70C" w14:textId="77777777" w:rsidR="008E495F" w:rsidRDefault="008E495F">
            <w:pPr>
              <w:rPr>
                <w:rFonts w:ascii="Comic Sans MS" w:hAnsi="Comic Sans MS"/>
              </w:rPr>
            </w:pPr>
          </w:p>
          <w:p w14:paraId="3809C7B8" w14:textId="77777777" w:rsidR="008E495F" w:rsidRDefault="008E495F">
            <w:pPr>
              <w:rPr>
                <w:rFonts w:ascii="Comic Sans MS" w:hAnsi="Comic Sans MS"/>
              </w:rPr>
            </w:pPr>
          </w:p>
          <w:p w14:paraId="6A3FA7F2" w14:textId="77777777" w:rsidR="008E495F" w:rsidRDefault="008E495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14:paraId="271AE168" w14:textId="41AEF885" w:rsidR="008E495F" w:rsidRDefault="009C1965">
            <w:pPr>
              <w:pStyle w:val="Heading2"/>
            </w:pPr>
            <w:r>
              <w:t>Day 6</w:t>
            </w:r>
          </w:p>
          <w:p w14:paraId="4EFA409C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>
              <w:rPr>
                <w:rFonts w:ascii="Comic Sans MS" w:hAnsi="Comic Sans MS"/>
              </w:rPr>
              <w:t>“Writers develop new opinions about books and characters by looking closely at the pictures.” (Session 3; create anchor chart: Uncovering Our Opinions About Books)</w:t>
            </w:r>
          </w:p>
          <w:p w14:paraId="718D7051" w14:textId="77777777" w:rsidR="00D23BE5" w:rsidRDefault="00D23BE5" w:rsidP="00D23B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Independent Writing:</w:t>
            </w:r>
          </w:p>
          <w:p w14:paraId="5A1AD6D9" w14:textId="77777777" w:rsidR="00D23BE5" w:rsidRPr="00615751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write more letters about books of their choosing.</w:t>
            </w:r>
          </w:p>
          <w:p w14:paraId="4D461B3D" w14:textId="5781D4B9" w:rsidR="008E495F" w:rsidRPr="009C1965" w:rsidRDefault="008E495F" w:rsidP="00D23B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78" w:type="dxa"/>
          </w:tcPr>
          <w:p w14:paraId="158FBF71" w14:textId="50CE4885" w:rsidR="008E495F" w:rsidRDefault="00620401">
            <w:pPr>
              <w:pStyle w:val="Heading2"/>
            </w:pPr>
            <w:r>
              <w:t>Day 7</w:t>
            </w:r>
          </w:p>
          <w:p w14:paraId="2E9151AB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 </w:t>
            </w:r>
            <w:r>
              <w:rPr>
                <w:rFonts w:ascii="Comic Sans MS" w:hAnsi="Comic Sans MS"/>
              </w:rPr>
              <w:t xml:space="preserve">“Writers make their letters about books even better by retelling important parts.”  (Session 4: see pp. 28 and 29 in particular; use p. 31 as the share, rather than the share listed.)  </w:t>
            </w:r>
          </w:p>
          <w:p w14:paraId="46B00214" w14:textId="17F6D701" w:rsidR="008E495F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Independent writing:</w:t>
            </w:r>
            <w:r>
              <w:rPr>
                <w:rFonts w:ascii="Comic Sans MS" w:hAnsi="Comic Sans MS"/>
              </w:rPr>
              <w:t xml:space="preserve"> Make revision strips available if students are writing on single pages.</w:t>
            </w:r>
          </w:p>
        </w:tc>
      </w:tr>
      <w:tr w:rsidR="00722E42" w14:paraId="16FFBCDC" w14:textId="77777777" w:rsidTr="00722E42">
        <w:tc>
          <w:tcPr>
            <w:tcW w:w="3978" w:type="dxa"/>
          </w:tcPr>
          <w:p w14:paraId="4523139A" w14:textId="77777777" w:rsidR="008E495F" w:rsidRDefault="008E495F" w:rsidP="008E495F">
            <w:pPr>
              <w:pStyle w:val="Heading2"/>
            </w:pPr>
            <w:r>
              <w:t xml:space="preserve">Day </w:t>
            </w:r>
            <w:r w:rsidR="00620401">
              <w:t>8</w:t>
            </w:r>
          </w:p>
          <w:p w14:paraId="067D65EA" w14:textId="134C59D0" w:rsidR="002F7C77" w:rsidRPr="002F7C77" w:rsidRDefault="00D23BE5" w:rsidP="002F7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>
              <w:rPr>
                <w:rFonts w:ascii="Comic Sans MS" w:hAnsi="Comic Sans MS"/>
              </w:rPr>
              <w:t xml:space="preserve">“Using </w:t>
            </w:r>
            <w:r>
              <w:rPr>
                <w:rFonts w:ascii="Comic Sans MS" w:hAnsi="Comic Sans MS"/>
                <w:i/>
              </w:rPr>
              <w:t>for example</w:t>
            </w:r>
            <w:r>
              <w:rPr>
                <w:rFonts w:ascii="Comic Sans MS" w:hAnsi="Comic Sans MS"/>
              </w:rPr>
              <w:t xml:space="preserve"> to introduce text evidence.” (Session 4 Share: p. 34)</w:t>
            </w:r>
          </w:p>
        </w:tc>
        <w:tc>
          <w:tcPr>
            <w:tcW w:w="3690" w:type="dxa"/>
          </w:tcPr>
          <w:p w14:paraId="13BB6FF1" w14:textId="5196CC08" w:rsidR="008E495F" w:rsidRDefault="008E495F">
            <w:pPr>
              <w:pStyle w:val="Heading2"/>
            </w:pPr>
            <w:r>
              <w:t xml:space="preserve">Day </w:t>
            </w:r>
            <w:r w:rsidR="00620401">
              <w:t>9</w:t>
            </w:r>
          </w:p>
          <w:p w14:paraId="18C2314B" w14:textId="472A46AD" w:rsidR="008E495F" w:rsidRPr="00D23BE5" w:rsidRDefault="00D23BE5">
            <w:pPr>
              <w:rPr>
                <w:rFonts w:ascii="Comic Sans MS" w:hAnsi="Comic Sans MS"/>
              </w:rPr>
            </w:pPr>
            <w:r w:rsidRPr="00D23BE5">
              <w:rPr>
                <w:rFonts w:ascii="Comic Sans MS" w:hAnsi="Comic Sans MS"/>
                <w:b/>
              </w:rPr>
              <w:t>Teaching point</w:t>
            </w:r>
            <w:r w:rsidRPr="00D23BE5">
              <w:rPr>
                <w:rFonts w:ascii="Comic Sans MS" w:hAnsi="Comic Sans MS"/>
              </w:rPr>
              <w:t xml:space="preserve">: “Keep your audience in mind when you are writing letters about books.” (Begin chart in </w:t>
            </w:r>
            <w:proofErr w:type="gramStart"/>
            <w:r w:rsidRPr="00D23BE5">
              <w:rPr>
                <w:rFonts w:ascii="Comic Sans MS" w:hAnsi="Comic Sans MS"/>
              </w:rPr>
              <w:t>lesson,</w:t>
            </w:r>
            <w:proofErr w:type="gramEnd"/>
            <w:r w:rsidRPr="00D23BE5">
              <w:rPr>
                <w:rFonts w:ascii="Comic Sans MS" w:hAnsi="Comic Sans MS"/>
              </w:rPr>
              <w:t xml:space="preserve"> add to it in the share.)</w:t>
            </w:r>
          </w:p>
        </w:tc>
        <w:tc>
          <w:tcPr>
            <w:tcW w:w="3510" w:type="dxa"/>
          </w:tcPr>
          <w:p w14:paraId="6CE9BB52" w14:textId="1D67150D" w:rsidR="008E495F" w:rsidRDefault="00620401">
            <w:pPr>
              <w:pStyle w:val="Heading2"/>
            </w:pPr>
            <w:r>
              <w:t>Day 10</w:t>
            </w:r>
          </w:p>
          <w:p w14:paraId="5DC43804" w14:textId="3656D08F" w:rsidR="008E495F" w:rsidRPr="00D23BE5" w:rsidRDefault="00D23BE5">
            <w:pPr>
              <w:pStyle w:val="Heading2"/>
              <w:rPr>
                <w:sz w:val="20"/>
              </w:rPr>
            </w:pPr>
            <w:r w:rsidRPr="00D23BE5">
              <w:rPr>
                <w:sz w:val="20"/>
              </w:rPr>
              <w:t xml:space="preserve">Teaching point: </w:t>
            </w:r>
            <w:r w:rsidRPr="00D23BE5">
              <w:rPr>
                <w:b w:val="0"/>
                <w:sz w:val="20"/>
              </w:rPr>
              <w:t>“Writers make goals about their writing.” This would be a good place to introduce the learning progression on the website under Teaching Resources for the opinion writing unit.  The learning progression can be a powerful tool for teaching</w:t>
            </w:r>
            <w:r>
              <w:t xml:space="preserve"> </w:t>
            </w:r>
            <w:r w:rsidRPr="00D23BE5">
              <w:rPr>
                <w:b w:val="0"/>
                <w:sz w:val="20"/>
              </w:rPr>
              <w:t>students to set goals for their writing.</w:t>
            </w:r>
          </w:p>
        </w:tc>
        <w:tc>
          <w:tcPr>
            <w:tcW w:w="3078" w:type="dxa"/>
          </w:tcPr>
          <w:p w14:paraId="4BA5DBC7" w14:textId="7B43F59D" w:rsidR="008E495F" w:rsidRDefault="00620401">
            <w:pPr>
              <w:pStyle w:val="Heading2"/>
            </w:pPr>
            <w:r>
              <w:t>Day 11</w:t>
            </w:r>
          </w:p>
          <w:p w14:paraId="60D60E96" w14:textId="77777777" w:rsidR="00D23BE5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“Writers write about more than one part of a book.”</w:t>
            </w:r>
          </w:p>
          <w:p w14:paraId="6093891B" w14:textId="0EFA835C" w:rsidR="008E495F" w:rsidRPr="002F7C77" w:rsidRDefault="00D23BE5" w:rsidP="00D23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At this point, letter booklets are introduced if students are not already writing in booklets (see pp. 52 and 53 in particular)</w:t>
            </w:r>
          </w:p>
        </w:tc>
      </w:tr>
      <w:tr w:rsidR="002F7C77" w14:paraId="7696EB5B" w14:textId="77777777" w:rsidTr="00722E42">
        <w:tc>
          <w:tcPr>
            <w:tcW w:w="3978" w:type="dxa"/>
          </w:tcPr>
          <w:p w14:paraId="16CFF081" w14:textId="424A54D0" w:rsidR="002F7C77" w:rsidRDefault="002F7C77" w:rsidP="008E495F">
            <w:pPr>
              <w:pStyle w:val="Heading2"/>
            </w:pPr>
            <w:r>
              <w:t>Day 12</w:t>
            </w:r>
          </w:p>
          <w:p w14:paraId="0B321F1B" w14:textId="420A06F4" w:rsidR="0065640F" w:rsidRPr="0065640F" w:rsidRDefault="00D23BE5" w:rsidP="002F7C7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 xml:space="preserve">Teaching point:  </w:t>
            </w:r>
            <w:r>
              <w:rPr>
                <w:rFonts w:ascii="Comic Sans MS" w:hAnsi="Comic Sans MS"/>
              </w:rPr>
              <w:t>“Writers go back to the text to read closely to grow ideas” (Session 8: p. 57; be sure to notice p. 61)</w:t>
            </w:r>
          </w:p>
        </w:tc>
        <w:tc>
          <w:tcPr>
            <w:tcW w:w="3690" w:type="dxa"/>
          </w:tcPr>
          <w:p w14:paraId="4FE8004A" w14:textId="77777777" w:rsidR="002F7C77" w:rsidRDefault="00EA29C6">
            <w:pPr>
              <w:pStyle w:val="Heading2"/>
            </w:pPr>
            <w:r>
              <w:t>Day 13</w:t>
            </w:r>
          </w:p>
          <w:p w14:paraId="1CDFFB05" w14:textId="0E0DCF88" w:rsidR="00F62CE4" w:rsidRPr="00D23BE5" w:rsidRDefault="00D23BE5" w:rsidP="00F62CE4">
            <w:pPr>
              <w:rPr>
                <w:rFonts w:ascii="Comic Sans MS" w:hAnsi="Comic Sans MS"/>
              </w:rPr>
            </w:pPr>
            <w:r w:rsidRPr="00D23BE5">
              <w:rPr>
                <w:rFonts w:ascii="Comic Sans MS" w:hAnsi="Comic Sans MS"/>
                <w:b/>
              </w:rPr>
              <w:t>Teaching point:</w:t>
            </w:r>
            <w:r w:rsidRPr="00D23BE5">
              <w:rPr>
                <w:rFonts w:ascii="Comic Sans MS" w:hAnsi="Comic Sans MS"/>
              </w:rPr>
              <w:t xml:space="preserve">  “Writers search for many pieces of evidence to support each of their opinions.” (Session 9) </w:t>
            </w:r>
            <w:r w:rsidRPr="00D23BE5">
              <w:rPr>
                <w:rFonts w:ascii="Comic Sans MS" w:hAnsi="Comic Sans MS"/>
                <w:i/>
              </w:rPr>
              <w:t xml:space="preserve">Add to </w:t>
            </w:r>
            <w:proofErr w:type="gramStart"/>
            <w:r w:rsidRPr="00D23BE5">
              <w:rPr>
                <w:rFonts w:ascii="Comic Sans MS" w:hAnsi="Comic Sans MS"/>
                <w:i/>
              </w:rPr>
              <w:t>Make</w:t>
            </w:r>
            <w:proofErr w:type="gramEnd"/>
            <w:r w:rsidRPr="00D23BE5">
              <w:rPr>
                <w:rFonts w:ascii="Comic Sans MS" w:hAnsi="Comic Sans MS"/>
                <w:i/>
              </w:rPr>
              <w:t xml:space="preserve"> it Stronger, Longer and More Convincing! Chart (p. 69).</w:t>
            </w:r>
          </w:p>
        </w:tc>
        <w:tc>
          <w:tcPr>
            <w:tcW w:w="3510" w:type="dxa"/>
          </w:tcPr>
          <w:p w14:paraId="286E5617" w14:textId="1371E087" w:rsidR="005D00EE" w:rsidRDefault="005D00EE" w:rsidP="005D00EE">
            <w:pPr>
              <w:pStyle w:val="Heading2"/>
            </w:pPr>
            <w:r>
              <w:t>Day 14</w:t>
            </w:r>
          </w:p>
          <w:p w14:paraId="57ADA8BC" w14:textId="6845EC48" w:rsidR="002F7C77" w:rsidRPr="005D00EE" w:rsidRDefault="00D23BE5" w:rsidP="005D00EE">
            <w:pPr>
              <w:pStyle w:val="Heading2"/>
              <w:rPr>
                <w:b w:val="0"/>
                <w:i/>
                <w:sz w:val="20"/>
              </w:rPr>
            </w:pPr>
            <w:r w:rsidRPr="005D00EE">
              <w:rPr>
                <w:sz w:val="20"/>
              </w:rPr>
              <w:t xml:space="preserve">Teaching point:  </w:t>
            </w:r>
            <w:r>
              <w:rPr>
                <w:b w:val="0"/>
                <w:sz w:val="20"/>
              </w:rPr>
              <w:t xml:space="preserve">“When writers are supporting their opinions with reasons and examples, they use words that help the reader link ideas together.” (See p. 70)/ </w:t>
            </w:r>
            <w:r>
              <w:rPr>
                <w:sz w:val="20"/>
              </w:rPr>
              <w:t xml:space="preserve">Share: </w:t>
            </w:r>
            <w:r>
              <w:rPr>
                <w:b w:val="0"/>
                <w:sz w:val="20"/>
              </w:rPr>
              <w:t xml:space="preserve">Uncovering Life Lessons (p. 73) Add to </w:t>
            </w:r>
            <w:r>
              <w:rPr>
                <w:i/>
                <w:sz w:val="20"/>
              </w:rPr>
              <w:t>Uncovering Our Opinions About Books</w:t>
            </w:r>
            <w:r>
              <w:rPr>
                <w:b w:val="0"/>
                <w:i/>
                <w:sz w:val="20"/>
              </w:rPr>
              <w:t xml:space="preserve"> chart.</w:t>
            </w:r>
          </w:p>
        </w:tc>
        <w:tc>
          <w:tcPr>
            <w:tcW w:w="3078" w:type="dxa"/>
          </w:tcPr>
          <w:p w14:paraId="56AAD3BB" w14:textId="203DF2DE" w:rsidR="005D00EE" w:rsidRDefault="005D00EE" w:rsidP="005D00EE">
            <w:pPr>
              <w:pStyle w:val="Heading2"/>
            </w:pPr>
            <w:r>
              <w:t>Day 15</w:t>
            </w:r>
          </w:p>
          <w:p w14:paraId="3C2F1DCC" w14:textId="21CD20A7" w:rsidR="002F7C77" w:rsidRPr="00E73019" w:rsidRDefault="00D23BE5" w:rsidP="005D00EE">
            <w:pPr>
              <w:pStyle w:val="Heading2"/>
              <w:rPr>
                <w:b w:val="0"/>
                <w:i/>
                <w:sz w:val="20"/>
              </w:rPr>
            </w:pPr>
            <w:r w:rsidRPr="00E73019">
              <w:rPr>
                <w:sz w:val="20"/>
              </w:rPr>
              <w:t xml:space="preserve">Teaching point:  </w:t>
            </w:r>
            <w:r w:rsidRPr="00E73019">
              <w:rPr>
                <w:b w:val="0"/>
                <w:sz w:val="20"/>
              </w:rPr>
              <w:t>“</w:t>
            </w:r>
            <w:r>
              <w:rPr>
                <w:b w:val="0"/>
                <w:sz w:val="20"/>
              </w:rPr>
              <w:t xml:space="preserve">Why is the author using a capital here?” (Session 10) See p. 78 for </w:t>
            </w:r>
            <w:r>
              <w:rPr>
                <w:sz w:val="20"/>
              </w:rPr>
              <w:t xml:space="preserve">anchor chart. </w:t>
            </w:r>
            <w:r>
              <w:rPr>
                <w:b w:val="0"/>
                <w:sz w:val="20"/>
              </w:rPr>
              <w:t>Mid-workshop and share focus on when to purposefully break the rules!</w:t>
            </w:r>
          </w:p>
        </w:tc>
      </w:tr>
      <w:tr w:rsidR="005D00EE" w14:paraId="03B91F07" w14:textId="77777777" w:rsidTr="00722E42">
        <w:tc>
          <w:tcPr>
            <w:tcW w:w="3978" w:type="dxa"/>
          </w:tcPr>
          <w:p w14:paraId="137413DD" w14:textId="2A162E7F" w:rsidR="00E73019" w:rsidRDefault="00E73019" w:rsidP="00E73019">
            <w:pPr>
              <w:pStyle w:val="Heading2"/>
            </w:pPr>
            <w:r>
              <w:t>Day 16</w:t>
            </w:r>
          </w:p>
          <w:p w14:paraId="4D13C953" w14:textId="5FE5BD54" w:rsidR="005D00EE" w:rsidRPr="00E73019" w:rsidRDefault="00D23BE5" w:rsidP="00E73019">
            <w:pPr>
              <w:pStyle w:val="Heading2"/>
              <w:rPr>
                <w:b w:val="0"/>
                <w:sz w:val="20"/>
              </w:rPr>
            </w:pPr>
            <w:r w:rsidRPr="00E73019">
              <w:rPr>
                <w:sz w:val="20"/>
              </w:rPr>
              <w:t xml:space="preserve">Teaching point:  </w:t>
            </w:r>
            <w:r w:rsidRPr="00E73019">
              <w:rPr>
                <w:b w:val="0"/>
                <w:sz w:val="20"/>
              </w:rPr>
              <w:t>“</w:t>
            </w:r>
            <w:r>
              <w:rPr>
                <w:b w:val="0"/>
                <w:sz w:val="20"/>
              </w:rPr>
              <w:t xml:space="preserve">Opinion writers use specific evidence form the book to support their thinking.” (Session 13; see p. 104 to add to </w:t>
            </w:r>
            <w:r>
              <w:rPr>
                <w:i/>
                <w:sz w:val="20"/>
              </w:rPr>
              <w:t>Make it Stronger, Longer and More Convincing!</w:t>
            </w:r>
            <w:r>
              <w:rPr>
                <w:b w:val="0"/>
                <w:i/>
                <w:sz w:val="20"/>
              </w:rPr>
              <w:t xml:space="preserve"> Chart (p. 104)</w:t>
            </w:r>
          </w:p>
        </w:tc>
        <w:tc>
          <w:tcPr>
            <w:tcW w:w="3690" w:type="dxa"/>
          </w:tcPr>
          <w:p w14:paraId="4B0A91DD" w14:textId="70F9A496" w:rsidR="00E73019" w:rsidRDefault="00E73019" w:rsidP="00E73019">
            <w:pPr>
              <w:pStyle w:val="Heading2"/>
            </w:pPr>
            <w:r>
              <w:t>Day 17</w:t>
            </w:r>
          </w:p>
          <w:p w14:paraId="0B1F4062" w14:textId="4C03F910" w:rsidR="005D00EE" w:rsidRPr="004F42D2" w:rsidRDefault="00D23BE5" w:rsidP="004F42D2">
            <w:pPr>
              <w:pStyle w:val="Heading2"/>
              <w:rPr>
                <w:b w:val="0"/>
                <w:i/>
                <w:sz w:val="20"/>
              </w:rPr>
            </w:pPr>
            <w:r w:rsidRPr="004F42D2">
              <w:rPr>
                <w:sz w:val="20"/>
              </w:rPr>
              <w:t xml:space="preserve">Teaching point:  </w:t>
            </w:r>
            <w:r>
              <w:rPr>
                <w:b w:val="0"/>
                <w:sz w:val="20"/>
              </w:rPr>
              <w:t xml:space="preserve">Writing Introductions and Conclusions (Session 16, p. 128) See student samples from </w:t>
            </w:r>
            <w:proofErr w:type="gramStart"/>
            <w:r>
              <w:rPr>
                <w:b w:val="0"/>
                <w:sz w:val="20"/>
              </w:rPr>
              <w:t>CD rom</w:t>
            </w:r>
            <w:proofErr w:type="gramEnd"/>
            <w:r>
              <w:rPr>
                <w:b w:val="0"/>
                <w:sz w:val="20"/>
              </w:rPr>
              <w:t xml:space="preserve"> (put in your mailboxes) and p. 133.</w:t>
            </w:r>
          </w:p>
        </w:tc>
        <w:tc>
          <w:tcPr>
            <w:tcW w:w="3510" w:type="dxa"/>
          </w:tcPr>
          <w:p w14:paraId="285646A3" w14:textId="792A8D3B" w:rsidR="004F42D2" w:rsidRDefault="004F42D2" w:rsidP="004F42D2">
            <w:pPr>
              <w:pStyle w:val="Heading2"/>
            </w:pPr>
            <w:r>
              <w:t>Day 18</w:t>
            </w:r>
          </w:p>
          <w:p w14:paraId="48F5B12A" w14:textId="0E56BABA" w:rsidR="005D00EE" w:rsidRPr="004F42D2" w:rsidRDefault="00D23BE5" w:rsidP="004F42D2">
            <w:pPr>
              <w:pStyle w:val="Heading2"/>
              <w:rPr>
                <w:sz w:val="20"/>
              </w:rPr>
            </w:pPr>
            <w:r w:rsidRPr="004F42D2">
              <w:rPr>
                <w:sz w:val="20"/>
              </w:rPr>
              <w:t xml:space="preserve">Teaching point: </w:t>
            </w:r>
            <w:r>
              <w:rPr>
                <w:sz w:val="20"/>
              </w:rPr>
              <w:t>Publishing Our Opinions!</w:t>
            </w:r>
            <w:r>
              <w:rPr>
                <w:b w:val="0"/>
                <w:sz w:val="20"/>
              </w:rPr>
              <w:t xml:space="preserve"> (Session 11 or Session 19)</w:t>
            </w:r>
            <w:bookmarkStart w:id="0" w:name="_GoBack"/>
            <w:bookmarkEnd w:id="0"/>
          </w:p>
        </w:tc>
        <w:tc>
          <w:tcPr>
            <w:tcW w:w="3078" w:type="dxa"/>
          </w:tcPr>
          <w:p w14:paraId="2974CF5D" w14:textId="75765012" w:rsidR="004F42D2" w:rsidRDefault="00C42D1A" w:rsidP="004F42D2">
            <w:pPr>
              <w:pStyle w:val="Heading2"/>
            </w:pPr>
            <w:r>
              <w:t>Day 19</w:t>
            </w:r>
          </w:p>
          <w:p w14:paraId="149A6FA1" w14:textId="243B346B" w:rsidR="005D00EE" w:rsidRPr="004F42D2" w:rsidRDefault="005D00EE" w:rsidP="004F42D2">
            <w:pPr>
              <w:pStyle w:val="Heading2"/>
              <w:rPr>
                <w:sz w:val="20"/>
              </w:rPr>
            </w:pPr>
          </w:p>
        </w:tc>
      </w:tr>
    </w:tbl>
    <w:p w14:paraId="4723D8E3" w14:textId="09360DAE" w:rsidR="00F571EC" w:rsidRDefault="00F571EC">
      <w:pPr>
        <w:rPr>
          <w:rFonts w:ascii="Comic Sans MS" w:hAnsi="Comic Sans MS"/>
          <w:sz w:val="24"/>
        </w:rPr>
      </w:pPr>
    </w:p>
    <w:sectPr w:rsidR="00F571EC">
      <w:headerReference w:type="default" r:id="rId8"/>
      <w:footerReference w:type="default" r:id="rId9"/>
      <w:pgSz w:w="15840" w:h="12240" w:orient="landscape" w:code="1"/>
      <w:pgMar w:top="450" w:right="864" w:bottom="5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4F42" w14:textId="77777777" w:rsidR="00C42D1A" w:rsidRDefault="00C42D1A">
      <w:r>
        <w:separator/>
      </w:r>
    </w:p>
  </w:endnote>
  <w:endnote w:type="continuationSeparator" w:id="0">
    <w:p w14:paraId="432B5F70" w14:textId="77777777" w:rsidR="00C42D1A" w:rsidRDefault="00C4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2915" w14:textId="77777777" w:rsidR="00C42D1A" w:rsidRDefault="00C42D1A">
    <w:pPr>
      <w:pStyle w:val="Footer"/>
      <w:rPr>
        <w:i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5AF3" w14:textId="77777777" w:rsidR="00C42D1A" w:rsidRDefault="00C42D1A">
      <w:r>
        <w:separator/>
      </w:r>
    </w:p>
  </w:footnote>
  <w:footnote w:type="continuationSeparator" w:id="0">
    <w:p w14:paraId="4B738B56" w14:textId="77777777" w:rsidR="00C42D1A" w:rsidRDefault="00C42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82F3" w14:textId="77777777" w:rsidR="00C42D1A" w:rsidRDefault="00C42D1A">
    <w:pPr>
      <w:pStyle w:val="Header"/>
      <w:rPr>
        <w:rFonts w:ascii="Comic Sans MS" w:hAnsi="Comic Sans MS"/>
        <w:i/>
      </w:rPr>
    </w:pP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3C5"/>
    <w:multiLevelType w:val="hybridMultilevel"/>
    <w:tmpl w:val="EF18072C"/>
    <w:lvl w:ilvl="0" w:tplc="25C8D0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D4E3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E82E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6EC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949B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1327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C8A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7E4E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AA4C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32609A"/>
    <w:multiLevelType w:val="hybridMultilevel"/>
    <w:tmpl w:val="A09E46EE"/>
    <w:lvl w:ilvl="0" w:tplc="4A588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A61E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67E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2A62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1E3A1A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29A19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523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D485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A50B5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AF0D58"/>
    <w:multiLevelType w:val="hybridMultilevel"/>
    <w:tmpl w:val="4F5876BC"/>
    <w:lvl w:ilvl="0" w:tplc="2C1E0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020F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4600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E07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DB486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DE5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70B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8C22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2F0DE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F54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480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4F0F39"/>
    <w:multiLevelType w:val="hybridMultilevel"/>
    <w:tmpl w:val="4C9A302E"/>
    <w:lvl w:ilvl="0" w:tplc="70248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5ED5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23A0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400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8AC9B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C5E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2AF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F60E7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5C68C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59"/>
    <w:rsid w:val="000F5403"/>
    <w:rsid w:val="00224EE4"/>
    <w:rsid w:val="002F7C77"/>
    <w:rsid w:val="003D29CB"/>
    <w:rsid w:val="0041437C"/>
    <w:rsid w:val="00484C1C"/>
    <w:rsid w:val="004F42D2"/>
    <w:rsid w:val="00533B46"/>
    <w:rsid w:val="005D00EE"/>
    <w:rsid w:val="00615751"/>
    <w:rsid w:val="00620401"/>
    <w:rsid w:val="0065640F"/>
    <w:rsid w:val="0067157C"/>
    <w:rsid w:val="00722E42"/>
    <w:rsid w:val="00771C1F"/>
    <w:rsid w:val="008E495F"/>
    <w:rsid w:val="009C1965"/>
    <w:rsid w:val="00A85FAC"/>
    <w:rsid w:val="00C42D1A"/>
    <w:rsid w:val="00D23959"/>
    <w:rsid w:val="00D23BE5"/>
    <w:rsid w:val="00D918D9"/>
    <w:rsid w:val="00DF5960"/>
    <w:rsid w:val="00E35926"/>
    <w:rsid w:val="00E73019"/>
    <w:rsid w:val="00EA29C6"/>
    <w:rsid w:val="00F571EC"/>
    <w:rsid w:val="00F62CE4"/>
    <w:rsid w:val="00F93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92A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CCL KII/Grade 1 Inquiry</vt:lpstr>
    </vt:vector>
  </TitlesOfParts>
  <Company>Boston Public Schools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 KII/Grade 1 Inquiry</dc:title>
  <dc:subject/>
  <dc:creator>BPS Computer</dc:creator>
  <cp:keywords/>
  <dc:description/>
  <cp:lastModifiedBy>Natalie LaCroix-White</cp:lastModifiedBy>
  <cp:revision>2</cp:revision>
  <cp:lastPrinted>2011-12-04T04:52:00Z</cp:lastPrinted>
  <dcterms:created xsi:type="dcterms:W3CDTF">2015-12-22T18:30:00Z</dcterms:created>
  <dcterms:modified xsi:type="dcterms:W3CDTF">2015-12-22T18:30:00Z</dcterms:modified>
</cp:coreProperties>
</file>